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jc w:val="center"/>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4A0" w:firstRow="1" w:lastRow="0" w:firstColumn="1" w:lastColumn="0" w:noHBand="0" w:noVBand="1"/>
      </w:tblPr>
      <w:tblGrid>
        <w:gridCol w:w="9054"/>
      </w:tblGrid>
      <w:tr w:rsidR="00C40CC5" w:rsidRPr="00080CCB" w:rsidTr="009D36F2">
        <w:trPr>
          <w:jc w:val="center"/>
        </w:trPr>
        <w:tc>
          <w:tcPr>
            <w:tcW w:w="9054" w:type="dxa"/>
            <w:shd w:val="clear" w:color="auto" w:fill="DBE5F1"/>
            <w:vAlign w:val="center"/>
          </w:tcPr>
          <w:p w:rsidR="00C40CC5" w:rsidRPr="00080CCB" w:rsidRDefault="00C40CC5" w:rsidP="000A3871">
            <w:pPr>
              <w:spacing w:before="120" w:after="120"/>
              <w:jc w:val="center"/>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DEFINICIÓN DE LAS VARIABLES RELACIONADAS</w:t>
            </w:r>
          </w:p>
        </w:tc>
      </w:tr>
      <w:tr w:rsidR="00C40CC5" w:rsidRPr="00080CCB" w:rsidTr="009D36F2">
        <w:trPr>
          <w:jc w:val="center"/>
        </w:trPr>
        <w:tc>
          <w:tcPr>
            <w:tcW w:w="9054" w:type="dxa"/>
            <w:vAlign w:val="center"/>
          </w:tcPr>
          <w:p w:rsidR="00C40CC5" w:rsidRDefault="00C40CC5" w:rsidP="009D36F2">
            <w:pPr>
              <w:spacing w:before="120"/>
              <w:jc w:val="center"/>
              <w:rPr>
                <w:rFonts w:asciiTheme="minorHAnsi" w:hAnsiTheme="minorHAnsi" w:cs="Arial"/>
                <w:sz w:val="4"/>
                <w:szCs w:val="22"/>
              </w:rPr>
            </w:pPr>
          </w:p>
          <w:p w:rsidR="000A3871" w:rsidRPr="000A3871" w:rsidRDefault="000A3871" w:rsidP="000A3871">
            <w:pPr>
              <w:rPr>
                <w:rFonts w:asciiTheme="minorHAnsi" w:hAnsiTheme="minorHAnsi" w:cs="Arial"/>
                <w:b/>
                <w:sz w:val="26"/>
                <w:szCs w:val="26"/>
              </w:rPr>
            </w:pPr>
            <w:r w:rsidRPr="000A3871">
              <w:rPr>
                <w:rFonts w:asciiTheme="minorHAnsi" w:hAnsiTheme="minorHAnsi" w:cs="Arial"/>
                <w:b/>
                <w:sz w:val="26"/>
                <w:szCs w:val="26"/>
              </w:rPr>
              <w:t>Cuenta de Producción</w:t>
            </w:r>
          </w:p>
          <w:p w:rsidR="000A3871" w:rsidRPr="00FD3EDC" w:rsidRDefault="000A3871" w:rsidP="009D36F2">
            <w:pPr>
              <w:spacing w:before="120"/>
              <w:jc w:val="center"/>
              <w:rPr>
                <w:rFonts w:asciiTheme="minorHAnsi" w:hAnsiTheme="minorHAnsi" w:cs="Arial"/>
                <w:sz w:val="4"/>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90"/>
              <w:gridCol w:w="6492"/>
            </w:tblGrid>
            <w:tr w:rsidR="00C40CC5" w:rsidRPr="00080CCB" w:rsidTr="009D36F2">
              <w:trPr>
                <w:trHeight w:hRule="exact" w:val="935"/>
                <w:tblHeader/>
              </w:trPr>
              <w:tc>
                <w:tcPr>
                  <w:tcW w:w="479" w:type="pct"/>
                  <w:shd w:val="clear" w:color="auto" w:fill="DBE5F1" w:themeFill="accent1" w:themeFillTint="33"/>
                  <w:vAlign w:val="center"/>
                </w:tcPr>
                <w:p w:rsidR="00C40CC5" w:rsidRPr="00080CCB" w:rsidRDefault="00C40CC5" w:rsidP="009D36F2">
                  <w:pPr>
                    <w:spacing w:before="120" w:after="120"/>
                    <w:jc w:val="center"/>
                    <w:rPr>
                      <w:rFonts w:asciiTheme="minorHAnsi" w:hAnsiTheme="minorHAnsi" w:cs="Calibri"/>
                      <w:b/>
                      <w:szCs w:val="22"/>
                      <w:lang w:val="es-EC"/>
                    </w:rPr>
                  </w:pPr>
                  <w:r w:rsidRPr="00080CCB">
                    <w:rPr>
                      <w:rFonts w:asciiTheme="minorHAnsi" w:hAnsiTheme="minorHAnsi" w:cs="Calibri"/>
                      <w:b/>
                      <w:sz w:val="22"/>
                      <w:szCs w:val="22"/>
                      <w:lang w:val="es-EC"/>
                    </w:rPr>
                    <w:t>Código SCN 2008</w:t>
                  </w:r>
                </w:p>
              </w:tc>
              <w:tc>
                <w:tcPr>
                  <w:tcW w:w="844" w:type="pct"/>
                  <w:shd w:val="clear" w:color="auto" w:fill="DBE5F1" w:themeFill="accent1" w:themeFillTint="33"/>
                  <w:vAlign w:val="center"/>
                </w:tcPr>
                <w:p w:rsidR="00C40CC5" w:rsidRPr="00080CCB" w:rsidRDefault="00C40CC5" w:rsidP="009D36F2">
                  <w:pPr>
                    <w:spacing w:before="120" w:after="120"/>
                    <w:jc w:val="center"/>
                    <w:rPr>
                      <w:rFonts w:asciiTheme="minorHAnsi" w:hAnsiTheme="minorHAnsi" w:cs="Calibri"/>
                      <w:b/>
                      <w:szCs w:val="22"/>
                      <w:lang w:val="es-EC"/>
                    </w:rPr>
                  </w:pPr>
                  <w:r w:rsidRPr="00080CCB">
                    <w:rPr>
                      <w:rFonts w:asciiTheme="minorHAnsi" w:hAnsiTheme="minorHAnsi" w:cs="Calibri"/>
                      <w:b/>
                      <w:sz w:val="22"/>
                      <w:szCs w:val="22"/>
                      <w:lang w:val="es-EC"/>
                    </w:rPr>
                    <w:t xml:space="preserve"> Transacción</w:t>
                  </w:r>
                </w:p>
              </w:tc>
              <w:tc>
                <w:tcPr>
                  <w:tcW w:w="3677" w:type="pct"/>
                  <w:shd w:val="clear" w:color="auto" w:fill="DBE5F1" w:themeFill="accent1" w:themeFillTint="33"/>
                  <w:vAlign w:val="center"/>
                </w:tcPr>
                <w:p w:rsidR="00C40CC5" w:rsidRPr="00080CCB" w:rsidRDefault="00C40CC5" w:rsidP="009D36F2">
                  <w:pPr>
                    <w:spacing w:before="120" w:after="120"/>
                    <w:jc w:val="center"/>
                    <w:rPr>
                      <w:rFonts w:asciiTheme="minorHAnsi" w:hAnsiTheme="minorHAnsi" w:cs="Calibri"/>
                      <w:b/>
                      <w:szCs w:val="22"/>
                      <w:lang w:val="es-EC"/>
                    </w:rPr>
                  </w:pPr>
                  <w:r w:rsidRPr="00080CCB">
                    <w:rPr>
                      <w:rFonts w:asciiTheme="minorHAnsi" w:hAnsiTheme="minorHAnsi" w:cs="Calibri"/>
                      <w:b/>
                      <w:sz w:val="22"/>
                      <w:szCs w:val="22"/>
                      <w:lang w:val="es-EC"/>
                    </w:rPr>
                    <w:t>Descripción</w:t>
                  </w:r>
                </w:p>
              </w:tc>
            </w:tr>
            <w:tr w:rsidR="00C40CC5" w:rsidRPr="00080CCB" w:rsidTr="009D36F2">
              <w:trPr>
                <w:trHeight w:val="1000"/>
              </w:trPr>
              <w:tc>
                <w:tcPr>
                  <w:tcW w:w="479" w:type="pct"/>
                  <w:vAlign w:val="center"/>
                </w:tcPr>
                <w:p w:rsidR="00C40CC5" w:rsidRPr="00080CCB" w:rsidRDefault="00C40CC5" w:rsidP="009D36F2">
                  <w:pPr>
                    <w:spacing w:before="120" w:after="120"/>
                    <w:jc w:val="center"/>
                    <w:rPr>
                      <w:rFonts w:asciiTheme="minorHAnsi" w:hAnsiTheme="minorHAnsi" w:cs="Calibri"/>
                      <w:b/>
                      <w:szCs w:val="22"/>
                      <w:lang w:val="es-EC"/>
                    </w:rPr>
                  </w:pPr>
                  <w:r w:rsidRPr="00080CCB">
                    <w:rPr>
                      <w:rFonts w:asciiTheme="minorHAnsi" w:hAnsiTheme="minorHAnsi" w:cs="Calibri"/>
                      <w:b/>
                      <w:sz w:val="22"/>
                      <w:szCs w:val="22"/>
                      <w:lang w:val="es-EC"/>
                    </w:rPr>
                    <w:t>P. 1</w:t>
                  </w:r>
                </w:p>
              </w:tc>
              <w:tc>
                <w:tcPr>
                  <w:tcW w:w="844" w:type="pct"/>
                  <w:vAlign w:val="center"/>
                </w:tcPr>
                <w:p w:rsidR="00C40CC5" w:rsidRPr="00080CCB" w:rsidRDefault="00C40CC5" w:rsidP="009D36F2">
                  <w:pPr>
                    <w:spacing w:before="120" w:after="120"/>
                    <w:rPr>
                      <w:rFonts w:asciiTheme="minorHAnsi" w:hAnsiTheme="minorHAnsi" w:cs="Calibri"/>
                      <w:b/>
                      <w:color w:val="FF0000"/>
                      <w:szCs w:val="22"/>
                      <w:lang w:val="es-EC"/>
                    </w:rPr>
                  </w:pPr>
                  <w:r w:rsidRPr="00080CCB">
                    <w:rPr>
                      <w:rFonts w:asciiTheme="minorHAnsi" w:hAnsiTheme="minorHAnsi" w:cs="Calibri"/>
                      <w:b/>
                      <w:sz w:val="22"/>
                      <w:szCs w:val="22"/>
                      <w:lang w:val="es-EC"/>
                    </w:rPr>
                    <w:t>Producción</w:t>
                  </w:r>
                </w:p>
              </w:tc>
              <w:tc>
                <w:tcPr>
                  <w:tcW w:w="3677" w:type="pct"/>
                  <w:vAlign w:val="center"/>
                </w:tcPr>
                <w:p w:rsidR="00C40CC5" w:rsidRPr="007B36A2" w:rsidRDefault="00C40CC5" w:rsidP="009D36F2">
                  <w:pPr>
                    <w:spacing w:before="120" w:after="120"/>
                    <w:jc w:val="both"/>
                    <w:rPr>
                      <w:rFonts w:asciiTheme="minorHAnsi" w:hAnsiTheme="minorHAnsi" w:cs="Calibri"/>
                      <w:szCs w:val="22"/>
                      <w:lang w:val="es-EC"/>
                    </w:rPr>
                  </w:pPr>
                  <w:r w:rsidRPr="00080CCB">
                    <w:rPr>
                      <w:rFonts w:asciiTheme="minorHAnsi" w:hAnsiTheme="minorHAnsi" w:cs="Calibri"/>
                      <w:sz w:val="22"/>
                      <w:szCs w:val="22"/>
                      <w:lang w:val="es-EC"/>
                    </w:rPr>
                    <w:t>Es la actividad realizada bajo el control y la responsabilidad de una unidad institucional que utiliza mano de obra, insumos de bienes y servicios y capital para obtener otros bienes y servicios.</w:t>
                  </w:r>
                </w:p>
              </w:tc>
            </w:tr>
            <w:tr w:rsidR="00C40CC5" w:rsidRPr="00080CCB" w:rsidTr="009D36F2">
              <w:trPr>
                <w:trHeight w:val="156"/>
              </w:trPr>
              <w:tc>
                <w:tcPr>
                  <w:tcW w:w="479" w:type="pct"/>
                  <w:vAlign w:val="center"/>
                </w:tcPr>
                <w:p w:rsidR="00C40CC5" w:rsidRPr="00080CCB" w:rsidRDefault="00C40CC5" w:rsidP="009D36F2">
                  <w:pPr>
                    <w:spacing w:before="120" w:after="120"/>
                    <w:jc w:val="center"/>
                    <w:rPr>
                      <w:rFonts w:asciiTheme="minorHAnsi" w:hAnsiTheme="minorHAnsi" w:cs="Calibri"/>
                      <w:szCs w:val="22"/>
                      <w:lang w:val="es-EC"/>
                    </w:rPr>
                  </w:pPr>
                  <w:r w:rsidRPr="00080CCB">
                    <w:rPr>
                      <w:rFonts w:asciiTheme="minorHAnsi" w:hAnsiTheme="minorHAnsi" w:cs="Calibri"/>
                      <w:b/>
                      <w:sz w:val="22"/>
                      <w:szCs w:val="22"/>
                      <w:lang w:val="es-EC"/>
                    </w:rPr>
                    <w:t>P. 11</w:t>
                  </w:r>
                </w:p>
              </w:tc>
              <w:tc>
                <w:tcPr>
                  <w:tcW w:w="844" w:type="pct"/>
                  <w:vAlign w:val="center"/>
                </w:tcPr>
                <w:p w:rsidR="00C40CC5" w:rsidRPr="00080CCB" w:rsidRDefault="00C40CC5" w:rsidP="009D36F2">
                  <w:pPr>
                    <w:spacing w:before="120" w:after="120"/>
                    <w:rPr>
                      <w:rFonts w:asciiTheme="minorHAnsi" w:hAnsiTheme="minorHAnsi" w:cs="Calibri"/>
                      <w:szCs w:val="22"/>
                      <w:lang w:val="es-EC"/>
                    </w:rPr>
                  </w:pPr>
                  <w:r w:rsidRPr="00080CCB">
                    <w:rPr>
                      <w:rFonts w:asciiTheme="minorHAnsi" w:hAnsiTheme="minorHAnsi" w:cs="Calibri"/>
                      <w:b/>
                      <w:sz w:val="22"/>
                      <w:szCs w:val="22"/>
                      <w:lang w:val="es-EC"/>
                    </w:rPr>
                    <w:t>Producción de mercado</w:t>
                  </w:r>
                </w:p>
              </w:tc>
              <w:tc>
                <w:tcPr>
                  <w:tcW w:w="3677" w:type="pct"/>
                  <w:vAlign w:val="center"/>
                </w:tcPr>
                <w:p w:rsidR="00C40CC5" w:rsidRPr="007B36A2" w:rsidRDefault="00C40CC5" w:rsidP="009D36F2">
                  <w:pPr>
                    <w:spacing w:before="120" w:after="120"/>
                    <w:jc w:val="both"/>
                    <w:rPr>
                      <w:rFonts w:asciiTheme="minorHAnsi" w:hAnsiTheme="minorHAnsi" w:cs="Calibri"/>
                      <w:szCs w:val="22"/>
                      <w:lang w:val="es-EC"/>
                    </w:rPr>
                  </w:pPr>
                  <w:r w:rsidRPr="007B36A2">
                    <w:rPr>
                      <w:rFonts w:asciiTheme="minorHAnsi" w:hAnsiTheme="minorHAnsi" w:cs="Calibri"/>
                      <w:sz w:val="22"/>
                      <w:szCs w:val="22"/>
                      <w:lang w:val="es-EC"/>
                    </w:rPr>
                    <w:t>Es aquella que es vendida o que se piensa destinar a su venta en el mercado a precios económicamente significativos y que permitan cubrir sus costos de producción y obtener una ganancia. Es típica de las Sociedades y de los Hogares.</w:t>
                  </w:r>
                </w:p>
              </w:tc>
            </w:tr>
            <w:tr w:rsidR="00C40CC5" w:rsidRPr="00080CCB" w:rsidTr="009D36F2">
              <w:trPr>
                <w:trHeight w:val="156"/>
              </w:trPr>
              <w:tc>
                <w:tcPr>
                  <w:tcW w:w="479" w:type="pct"/>
                  <w:vAlign w:val="center"/>
                </w:tcPr>
                <w:p w:rsidR="00C40CC5" w:rsidRPr="009329F8" w:rsidRDefault="00C40CC5" w:rsidP="009D36F2">
                  <w:pPr>
                    <w:spacing w:before="120" w:after="120"/>
                    <w:jc w:val="center"/>
                    <w:rPr>
                      <w:rFonts w:asciiTheme="minorHAnsi" w:hAnsiTheme="minorHAnsi" w:cs="Calibri"/>
                      <w:b/>
                      <w:szCs w:val="22"/>
                      <w:lang w:val="es-EC"/>
                    </w:rPr>
                  </w:pPr>
                  <w:r w:rsidRPr="009329F8">
                    <w:rPr>
                      <w:rFonts w:asciiTheme="minorHAnsi" w:hAnsiTheme="minorHAnsi" w:cs="Calibri"/>
                      <w:b/>
                      <w:sz w:val="22"/>
                      <w:szCs w:val="22"/>
                      <w:lang w:val="es-EC"/>
                    </w:rPr>
                    <w:t>P.12</w:t>
                  </w:r>
                </w:p>
              </w:tc>
              <w:tc>
                <w:tcPr>
                  <w:tcW w:w="844" w:type="pct"/>
                  <w:vAlign w:val="center"/>
                </w:tcPr>
                <w:p w:rsidR="00C40CC5" w:rsidRPr="009329F8" w:rsidRDefault="00C40CC5" w:rsidP="009D36F2">
                  <w:pPr>
                    <w:spacing w:before="120" w:after="120"/>
                    <w:rPr>
                      <w:rFonts w:asciiTheme="minorHAnsi" w:hAnsiTheme="minorHAnsi" w:cs="Calibri"/>
                      <w:b/>
                      <w:szCs w:val="22"/>
                      <w:lang w:val="es-EC"/>
                    </w:rPr>
                  </w:pPr>
                  <w:r w:rsidRPr="009329F8">
                    <w:rPr>
                      <w:rFonts w:asciiTheme="minorHAnsi" w:hAnsiTheme="minorHAnsi" w:cs="Calibri"/>
                      <w:b/>
                      <w:sz w:val="22"/>
                      <w:szCs w:val="22"/>
                      <w:lang w:val="es-EC"/>
                    </w:rPr>
                    <w:t>Producción para uso final propio</w:t>
                  </w:r>
                </w:p>
              </w:tc>
              <w:tc>
                <w:tcPr>
                  <w:tcW w:w="3677" w:type="pct"/>
                  <w:shd w:val="clear" w:color="auto" w:fill="auto"/>
                  <w:vAlign w:val="center"/>
                </w:tcPr>
                <w:p w:rsidR="00C40CC5" w:rsidRPr="007B36A2" w:rsidRDefault="00C40CC5" w:rsidP="009D36F2">
                  <w:pPr>
                    <w:spacing w:before="120" w:after="120"/>
                    <w:jc w:val="both"/>
                    <w:rPr>
                      <w:rFonts w:asciiTheme="minorHAnsi" w:hAnsiTheme="minorHAnsi" w:cs="Calibri"/>
                      <w:szCs w:val="22"/>
                      <w:lang w:val="es-EC"/>
                    </w:rPr>
                  </w:pPr>
                  <w:r w:rsidRPr="007B36A2">
                    <w:rPr>
                      <w:rFonts w:asciiTheme="minorHAnsi" w:hAnsiTheme="minorHAnsi" w:cs="Calibri"/>
                      <w:sz w:val="22"/>
                      <w:szCs w:val="22"/>
                      <w:lang w:val="es-EC"/>
                    </w:rPr>
                    <w:t>Comprende los productos retenidos por el productor para su propio uso en consumo final o formación de capital</w:t>
                  </w:r>
                </w:p>
              </w:tc>
            </w:tr>
            <w:tr w:rsidR="00C40CC5" w:rsidRPr="00080CCB" w:rsidTr="009D36F2">
              <w:trPr>
                <w:trHeight w:val="156"/>
              </w:trPr>
              <w:tc>
                <w:tcPr>
                  <w:tcW w:w="479" w:type="pct"/>
                  <w:vAlign w:val="center"/>
                </w:tcPr>
                <w:p w:rsidR="00C40CC5" w:rsidRPr="00080CCB" w:rsidRDefault="00C40CC5" w:rsidP="009D36F2">
                  <w:pPr>
                    <w:spacing w:before="120" w:after="120"/>
                    <w:jc w:val="center"/>
                    <w:rPr>
                      <w:rFonts w:asciiTheme="minorHAnsi" w:hAnsiTheme="minorHAnsi" w:cs="Calibri"/>
                      <w:szCs w:val="22"/>
                      <w:lang w:val="es-EC"/>
                    </w:rPr>
                  </w:pPr>
                  <w:r w:rsidRPr="00080CCB">
                    <w:rPr>
                      <w:rFonts w:asciiTheme="minorHAnsi" w:hAnsiTheme="minorHAnsi" w:cs="Calibri"/>
                      <w:b/>
                      <w:sz w:val="22"/>
                      <w:szCs w:val="22"/>
                      <w:lang w:val="es-EC"/>
                    </w:rPr>
                    <w:t>P. 13</w:t>
                  </w:r>
                </w:p>
              </w:tc>
              <w:tc>
                <w:tcPr>
                  <w:tcW w:w="844" w:type="pct"/>
                  <w:vAlign w:val="center"/>
                </w:tcPr>
                <w:p w:rsidR="00C40CC5" w:rsidRPr="00080CCB" w:rsidRDefault="00C40CC5" w:rsidP="009D36F2">
                  <w:pPr>
                    <w:spacing w:before="120" w:after="120"/>
                    <w:rPr>
                      <w:rFonts w:asciiTheme="minorHAnsi" w:hAnsiTheme="minorHAnsi" w:cs="Calibri"/>
                      <w:szCs w:val="22"/>
                      <w:lang w:val="es-EC"/>
                    </w:rPr>
                  </w:pPr>
                  <w:r w:rsidRPr="00080CCB">
                    <w:rPr>
                      <w:rFonts w:asciiTheme="minorHAnsi" w:hAnsiTheme="minorHAnsi" w:cs="Calibri"/>
                      <w:b/>
                      <w:sz w:val="22"/>
                      <w:szCs w:val="22"/>
                      <w:lang w:val="es-EC"/>
                    </w:rPr>
                    <w:t>Producción no de mercado</w:t>
                  </w:r>
                </w:p>
              </w:tc>
              <w:tc>
                <w:tcPr>
                  <w:tcW w:w="3677" w:type="pct"/>
                  <w:vAlign w:val="center"/>
                </w:tcPr>
                <w:p w:rsidR="00C40CC5" w:rsidRPr="007B36A2" w:rsidRDefault="00C40CC5" w:rsidP="009D36F2">
                  <w:pPr>
                    <w:spacing w:before="120" w:after="120"/>
                    <w:jc w:val="both"/>
                    <w:rPr>
                      <w:rFonts w:asciiTheme="minorHAnsi" w:hAnsiTheme="minorHAnsi" w:cs="Calibri"/>
                      <w:szCs w:val="22"/>
                      <w:lang w:val="es-EC"/>
                    </w:rPr>
                  </w:pPr>
                  <w:r w:rsidRPr="00080CCB">
                    <w:rPr>
                      <w:rFonts w:asciiTheme="minorHAnsi" w:hAnsiTheme="minorHAnsi" w:cs="Calibri"/>
                      <w:sz w:val="22"/>
                      <w:szCs w:val="22"/>
                      <w:lang w:val="es-EC"/>
                    </w:rPr>
                    <w:t>Consiste en los bienes y servicios colectivos o individuales producidos por el Gobierno General o por las ISFLSH y que se suministran a la sociedad en su conjunto o a grupos determinados de hogares gratuitamente o a precios económicamente no significativos.</w:t>
                  </w:r>
                </w:p>
              </w:tc>
            </w:tr>
            <w:tr w:rsidR="00C40CC5" w:rsidRPr="00080CCB" w:rsidTr="009D36F2">
              <w:trPr>
                <w:trHeight w:val="156"/>
              </w:trPr>
              <w:tc>
                <w:tcPr>
                  <w:tcW w:w="479" w:type="pct"/>
                  <w:vAlign w:val="center"/>
                </w:tcPr>
                <w:p w:rsidR="00C40CC5" w:rsidRPr="00080CCB" w:rsidRDefault="00C40CC5" w:rsidP="009D36F2">
                  <w:pPr>
                    <w:spacing w:before="120" w:after="120"/>
                    <w:jc w:val="center"/>
                    <w:rPr>
                      <w:rFonts w:asciiTheme="minorHAnsi" w:hAnsiTheme="minorHAnsi" w:cs="Calibri"/>
                      <w:b/>
                      <w:szCs w:val="22"/>
                      <w:lang w:val="es-EC"/>
                    </w:rPr>
                  </w:pPr>
                  <w:r w:rsidRPr="00080CCB">
                    <w:rPr>
                      <w:rFonts w:asciiTheme="minorHAnsi" w:hAnsiTheme="minorHAnsi" w:cs="Calibri"/>
                      <w:b/>
                      <w:sz w:val="22"/>
                      <w:szCs w:val="22"/>
                      <w:lang w:val="es-EC"/>
                    </w:rPr>
                    <w:t>P.2</w:t>
                  </w:r>
                </w:p>
              </w:tc>
              <w:tc>
                <w:tcPr>
                  <w:tcW w:w="844" w:type="pct"/>
                  <w:vAlign w:val="center"/>
                </w:tcPr>
                <w:p w:rsidR="00C40CC5" w:rsidRPr="00080CCB" w:rsidRDefault="00C40CC5" w:rsidP="009D36F2">
                  <w:pPr>
                    <w:spacing w:before="120" w:after="120"/>
                    <w:rPr>
                      <w:rFonts w:asciiTheme="minorHAnsi" w:hAnsiTheme="minorHAnsi" w:cs="Calibri"/>
                      <w:szCs w:val="22"/>
                      <w:lang w:val="es-EC"/>
                    </w:rPr>
                  </w:pPr>
                  <w:r w:rsidRPr="00080CCB">
                    <w:rPr>
                      <w:rFonts w:asciiTheme="minorHAnsi" w:hAnsiTheme="minorHAnsi" w:cs="Calibri"/>
                      <w:b/>
                      <w:sz w:val="22"/>
                      <w:szCs w:val="22"/>
                      <w:lang w:val="es-EC"/>
                    </w:rPr>
                    <w:t>Consumo intermedio</w:t>
                  </w:r>
                  <w:r w:rsidRPr="00080CCB">
                    <w:rPr>
                      <w:rFonts w:asciiTheme="minorHAnsi" w:hAnsiTheme="minorHAnsi" w:cs="Calibri"/>
                      <w:b/>
                      <w:color w:val="FF0000"/>
                      <w:sz w:val="22"/>
                      <w:szCs w:val="22"/>
                      <w:lang w:val="es-EC"/>
                    </w:rPr>
                    <w:t xml:space="preserve"> </w:t>
                  </w:r>
                </w:p>
              </w:tc>
              <w:tc>
                <w:tcPr>
                  <w:tcW w:w="3677" w:type="pct"/>
                  <w:vAlign w:val="center"/>
                </w:tcPr>
                <w:p w:rsidR="00C40CC5" w:rsidRPr="007B36A2" w:rsidRDefault="00C40CC5" w:rsidP="009D36F2">
                  <w:pPr>
                    <w:spacing w:before="120" w:after="120"/>
                    <w:jc w:val="both"/>
                    <w:rPr>
                      <w:rFonts w:asciiTheme="minorHAnsi" w:hAnsiTheme="minorHAnsi" w:cs="Calibri"/>
                      <w:szCs w:val="22"/>
                      <w:lang w:val="es-EC"/>
                    </w:rPr>
                  </w:pPr>
                  <w:r w:rsidRPr="00080CCB">
                    <w:rPr>
                      <w:rFonts w:asciiTheme="minorHAnsi" w:hAnsiTheme="minorHAnsi" w:cs="Calibri"/>
                      <w:sz w:val="22"/>
                      <w:szCs w:val="22"/>
                      <w:lang w:val="es-EC"/>
                    </w:rPr>
                    <w:t>El consumo intermedio es el valor de los bienes y servicios utilizados por las unidades productivas como materias primas e insumos durante un proceso de producción, con el fin de generar nuevos bienes y servicios. Los bienes o servicios considerados consumo intermedio deben transformarse, consumirse o incorporarse a otros bienes y servicios en el proceso productivo.</w:t>
                  </w:r>
                </w:p>
              </w:tc>
            </w:tr>
            <w:tr w:rsidR="00C40CC5" w:rsidRPr="00080CCB" w:rsidTr="009D36F2">
              <w:trPr>
                <w:trHeight w:val="156"/>
              </w:trPr>
              <w:tc>
                <w:tcPr>
                  <w:tcW w:w="479" w:type="pct"/>
                  <w:vAlign w:val="center"/>
                </w:tcPr>
                <w:p w:rsidR="00C40CC5" w:rsidRPr="00080CCB" w:rsidRDefault="00C40CC5" w:rsidP="009D36F2">
                  <w:pPr>
                    <w:spacing w:before="120" w:after="120"/>
                    <w:jc w:val="center"/>
                    <w:rPr>
                      <w:rFonts w:asciiTheme="minorHAnsi" w:hAnsiTheme="minorHAnsi" w:cs="Calibri"/>
                      <w:b/>
                      <w:szCs w:val="22"/>
                      <w:lang w:val="es-EC"/>
                    </w:rPr>
                  </w:pPr>
                  <w:r w:rsidRPr="00080CCB">
                    <w:rPr>
                      <w:rFonts w:asciiTheme="minorHAnsi" w:hAnsiTheme="minorHAnsi" w:cs="Calibri"/>
                      <w:b/>
                      <w:sz w:val="22"/>
                      <w:szCs w:val="22"/>
                      <w:lang w:val="es-EC"/>
                    </w:rPr>
                    <w:t>B.1</w:t>
                  </w:r>
                  <w:r>
                    <w:rPr>
                      <w:rFonts w:asciiTheme="minorHAnsi" w:hAnsiTheme="minorHAnsi" w:cs="Calibri"/>
                      <w:b/>
                      <w:sz w:val="22"/>
                      <w:szCs w:val="22"/>
                      <w:lang w:val="es-EC"/>
                    </w:rPr>
                    <w:t>b</w:t>
                  </w:r>
                </w:p>
              </w:tc>
              <w:tc>
                <w:tcPr>
                  <w:tcW w:w="844" w:type="pct"/>
                  <w:vAlign w:val="center"/>
                </w:tcPr>
                <w:p w:rsidR="00C40CC5" w:rsidRPr="00080CCB" w:rsidRDefault="00C40CC5" w:rsidP="009D36F2">
                  <w:pPr>
                    <w:spacing w:before="120" w:after="120"/>
                    <w:rPr>
                      <w:rFonts w:asciiTheme="minorHAnsi" w:hAnsiTheme="minorHAnsi" w:cs="Calibri"/>
                      <w:b/>
                      <w:szCs w:val="22"/>
                      <w:lang w:val="es-EC"/>
                    </w:rPr>
                  </w:pPr>
                  <w:r w:rsidRPr="00080CCB">
                    <w:rPr>
                      <w:rFonts w:asciiTheme="minorHAnsi" w:hAnsiTheme="minorHAnsi" w:cs="Calibri"/>
                      <w:b/>
                      <w:sz w:val="22"/>
                      <w:szCs w:val="22"/>
                      <w:lang w:val="es-EC"/>
                    </w:rPr>
                    <w:t>Valor Agregado Bruto</w:t>
                  </w:r>
                </w:p>
              </w:tc>
              <w:tc>
                <w:tcPr>
                  <w:tcW w:w="3677" w:type="pct"/>
                  <w:vAlign w:val="center"/>
                </w:tcPr>
                <w:p w:rsidR="00C40CC5" w:rsidRPr="007B36A2" w:rsidRDefault="00C40CC5" w:rsidP="009D36F2">
                  <w:pPr>
                    <w:spacing w:before="120" w:after="120"/>
                    <w:jc w:val="both"/>
                    <w:rPr>
                      <w:rFonts w:asciiTheme="minorHAnsi" w:hAnsiTheme="minorHAnsi"/>
                      <w:szCs w:val="22"/>
                    </w:rPr>
                  </w:pPr>
                  <w:r w:rsidRPr="00080CCB">
                    <w:rPr>
                      <w:rFonts w:asciiTheme="minorHAnsi" w:hAnsiTheme="minorHAnsi"/>
                      <w:sz w:val="22"/>
                      <w:szCs w:val="22"/>
                    </w:rPr>
                    <w:t>Se define como la producción valorada a precios básicos menos el consumo intermedio valorado a precios de comprador. Desde el punto de vista del productor, los precios de comprador para los insumos y los precios básicos para los productos representan los precios realmente pagados y recibidos</w:t>
                  </w:r>
                  <w:r>
                    <w:rPr>
                      <w:rFonts w:asciiTheme="minorHAnsi" w:hAnsiTheme="minorHAnsi"/>
                      <w:sz w:val="22"/>
                      <w:szCs w:val="22"/>
                    </w:rPr>
                    <w:t>.</w:t>
                  </w:r>
                </w:p>
              </w:tc>
            </w:tr>
            <w:tr w:rsidR="00C40CC5" w:rsidRPr="00080CCB" w:rsidTr="009D36F2">
              <w:trPr>
                <w:trHeight w:val="156"/>
              </w:trPr>
              <w:tc>
                <w:tcPr>
                  <w:tcW w:w="479" w:type="pct"/>
                  <w:vAlign w:val="center"/>
                </w:tcPr>
                <w:p w:rsidR="00C40CC5" w:rsidRPr="00080CCB" w:rsidRDefault="00C40CC5" w:rsidP="009D36F2">
                  <w:pPr>
                    <w:rPr>
                      <w:rFonts w:asciiTheme="minorHAnsi" w:hAnsiTheme="minorHAnsi"/>
                      <w:b/>
                      <w:szCs w:val="22"/>
                    </w:rPr>
                  </w:pPr>
                  <w:r w:rsidRPr="00080CCB">
                    <w:rPr>
                      <w:rFonts w:asciiTheme="minorHAnsi" w:hAnsiTheme="minorHAnsi"/>
                      <w:b/>
                      <w:sz w:val="22"/>
                      <w:szCs w:val="22"/>
                    </w:rPr>
                    <w:t>P.51c</w:t>
                  </w:r>
                </w:p>
              </w:tc>
              <w:tc>
                <w:tcPr>
                  <w:tcW w:w="844" w:type="pct"/>
                  <w:vAlign w:val="center"/>
                </w:tcPr>
                <w:p w:rsidR="00C40CC5" w:rsidRPr="00080CCB" w:rsidRDefault="00C40CC5" w:rsidP="009D36F2">
                  <w:pPr>
                    <w:rPr>
                      <w:rFonts w:asciiTheme="minorHAnsi" w:hAnsiTheme="minorHAnsi"/>
                      <w:b/>
                      <w:szCs w:val="22"/>
                    </w:rPr>
                  </w:pPr>
                  <w:r w:rsidRPr="00080CCB">
                    <w:rPr>
                      <w:rFonts w:asciiTheme="minorHAnsi" w:hAnsiTheme="minorHAnsi"/>
                      <w:b/>
                      <w:sz w:val="22"/>
                      <w:szCs w:val="22"/>
                    </w:rPr>
                    <w:t>Consumo de capital fijo</w:t>
                  </w:r>
                </w:p>
              </w:tc>
              <w:tc>
                <w:tcPr>
                  <w:tcW w:w="3677" w:type="pct"/>
                  <w:shd w:val="clear" w:color="auto" w:fill="auto"/>
                  <w:vAlign w:val="center"/>
                </w:tcPr>
                <w:p w:rsidR="00C40CC5" w:rsidRPr="00080CCB" w:rsidRDefault="00C40CC5" w:rsidP="009D36F2">
                  <w:pPr>
                    <w:spacing w:before="120" w:after="120"/>
                    <w:jc w:val="both"/>
                    <w:rPr>
                      <w:rFonts w:asciiTheme="minorHAnsi" w:hAnsiTheme="minorHAnsi"/>
                      <w:szCs w:val="22"/>
                    </w:rPr>
                  </w:pPr>
                  <w:r w:rsidRPr="00FA0838">
                    <w:rPr>
                      <w:rFonts w:asciiTheme="minorHAnsi" w:hAnsiTheme="minorHAnsi"/>
                      <w:sz w:val="22"/>
                      <w:szCs w:val="22"/>
                    </w:rPr>
                    <w:t>El consumo de capital fijo es la declinación, durante el período contable, del valor corriente del stock de activos fijos que posee y que utiliza un productor, como consecuencia del deterioro físico, de la obsolescencia normal o de daños accidentales normales. (SCN 2008, 10.25)</w:t>
                  </w:r>
                </w:p>
              </w:tc>
            </w:tr>
            <w:tr w:rsidR="00C40CC5" w:rsidRPr="00080CCB" w:rsidTr="009D36F2">
              <w:trPr>
                <w:trHeight w:val="156"/>
              </w:trPr>
              <w:tc>
                <w:tcPr>
                  <w:tcW w:w="479" w:type="pct"/>
                  <w:vAlign w:val="center"/>
                </w:tcPr>
                <w:p w:rsidR="00C40CC5" w:rsidRPr="00080CCB" w:rsidRDefault="00C40CC5" w:rsidP="009D36F2">
                  <w:pPr>
                    <w:rPr>
                      <w:rFonts w:asciiTheme="minorHAnsi" w:hAnsiTheme="minorHAnsi"/>
                      <w:b/>
                      <w:szCs w:val="22"/>
                    </w:rPr>
                  </w:pPr>
                  <w:r>
                    <w:rPr>
                      <w:rFonts w:asciiTheme="minorHAnsi" w:hAnsiTheme="minorHAnsi"/>
                      <w:b/>
                      <w:sz w:val="22"/>
                      <w:szCs w:val="22"/>
                    </w:rPr>
                    <w:t>B</w:t>
                  </w:r>
                  <w:r w:rsidRPr="00080CCB">
                    <w:rPr>
                      <w:rFonts w:asciiTheme="minorHAnsi" w:hAnsiTheme="minorHAnsi"/>
                      <w:b/>
                      <w:sz w:val="22"/>
                      <w:szCs w:val="22"/>
                    </w:rPr>
                    <w:t>.1</w:t>
                  </w:r>
                  <w:r>
                    <w:rPr>
                      <w:rFonts w:asciiTheme="minorHAnsi" w:hAnsiTheme="minorHAnsi"/>
                      <w:b/>
                      <w:sz w:val="22"/>
                      <w:szCs w:val="22"/>
                    </w:rPr>
                    <w:t>n</w:t>
                  </w:r>
                </w:p>
              </w:tc>
              <w:tc>
                <w:tcPr>
                  <w:tcW w:w="844" w:type="pct"/>
                  <w:vAlign w:val="center"/>
                </w:tcPr>
                <w:p w:rsidR="00C40CC5" w:rsidRPr="00080CCB" w:rsidRDefault="00C40CC5" w:rsidP="009D36F2">
                  <w:pPr>
                    <w:rPr>
                      <w:rFonts w:asciiTheme="minorHAnsi" w:hAnsiTheme="minorHAnsi"/>
                      <w:b/>
                      <w:szCs w:val="22"/>
                    </w:rPr>
                  </w:pPr>
                  <w:r>
                    <w:rPr>
                      <w:rFonts w:asciiTheme="minorHAnsi" w:hAnsiTheme="minorHAnsi"/>
                      <w:b/>
                      <w:sz w:val="22"/>
                      <w:szCs w:val="22"/>
                    </w:rPr>
                    <w:t>Valor Agregado Neto</w:t>
                  </w:r>
                </w:p>
              </w:tc>
              <w:tc>
                <w:tcPr>
                  <w:tcW w:w="3677" w:type="pct"/>
                  <w:shd w:val="clear" w:color="auto" w:fill="auto"/>
                  <w:vAlign w:val="center"/>
                </w:tcPr>
                <w:p w:rsidR="00C40CC5" w:rsidRPr="00080CCB" w:rsidRDefault="00C40CC5" w:rsidP="009D36F2">
                  <w:pPr>
                    <w:spacing w:before="120" w:after="120"/>
                    <w:jc w:val="both"/>
                    <w:rPr>
                      <w:rFonts w:asciiTheme="minorHAnsi" w:hAnsiTheme="minorHAnsi"/>
                      <w:szCs w:val="22"/>
                    </w:rPr>
                  </w:pPr>
                  <w:r w:rsidRPr="007B36A2">
                    <w:rPr>
                      <w:rFonts w:asciiTheme="minorHAnsi" w:hAnsiTheme="minorHAnsi"/>
                      <w:sz w:val="22"/>
                      <w:szCs w:val="22"/>
                    </w:rPr>
                    <w:t>Se define como el valor de la producción menos los valores tanto del consumo intermedio como del consumo de capital fijo</w:t>
                  </w:r>
                  <w:r>
                    <w:rPr>
                      <w:rFonts w:asciiTheme="minorHAnsi" w:hAnsiTheme="minorHAnsi"/>
                      <w:sz w:val="22"/>
                      <w:szCs w:val="22"/>
                    </w:rPr>
                    <w:t>.</w:t>
                  </w:r>
                </w:p>
              </w:tc>
            </w:tr>
          </w:tbl>
          <w:p w:rsidR="00C40CC5" w:rsidRPr="00080CCB" w:rsidRDefault="00C40CC5" w:rsidP="009D36F2">
            <w:pPr>
              <w:spacing w:after="120"/>
              <w:rPr>
                <w:rFonts w:asciiTheme="minorHAnsi" w:hAnsiTheme="minorHAnsi" w:cs="Arial"/>
                <w:szCs w:val="22"/>
              </w:rPr>
            </w:pPr>
          </w:p>
        </w:tc>
      </w:tr>
    </w:tbl>
    <w:p w:rsidR="00743314" w:rsidRDefault="00743314"/>
    <w:tbl>
      <w:tblPr>
        <w:tblW w:w="5000" w:type="pct"/>
        <w:jc w:val="center"/>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ayout w:type="fixed"/>
        <w:tblLook w:val="04A0" w:firstRow="1" w:lastRow="0" w:firstColumn="1" w:lastColumn="0" w:noHBand="0" w:noVBand="1"/>
      </w:tblPr>
      <w:tblGrid>
        <w:gridCol w:w="9054"/>
      </w:tblGrid>
      <w:tr w:rsidR="00C40CC5" w:rsidRPr="00080CCB" w:rsidTr="009D36F2">
        <w:trPr>
          <w:jc w:val="center"/>
        </w:trPr>
        <w:tc>
          <w:tcPr>
            <w:tcW w:w="5000" w:type="pct"/>
            <w:vAlign w:val="center"/>
          </w:tcPr>
          <w:p w:rsidR="000A3871" w:rsidRDefault="000A3871" w:rsidP="000A3871">
            <w:pPr>
              <w:rPr>
                <w:rFonts w:asciiTheme="minorHAnsi" w:hAnsiTheme="minorHAnsi" w:cs="Arial"/>
                <w:b/>
                <w:sz w:val="26"/>
                <w:szCs w:val="26"/>
              </w:rPr>
            </w:pPr>
          </w:p>
          <w:p w:rsidR="000A3871" w:rsidRDefault="000A3871" w:rsidP="000A3871">
            <w:pPr>
              <w:rPr>
                <w:rFonts w:asciiTheme="minorHAnsi" w:hAnsiTheme="minorHAnsi" w:cs="Arial"/>
                <w:b/>
                <w:sz w:val="26"/>
                <w:szCs w:val="26"/>
              </w:rPr>
            </w:pPr>
            <w:r w:rsidRPr="000A3871">
              <w:rPr>
                <w:rFonts w:asciiTheme="minorHAnsi" w:hAnsiTheme="minorHAnsi" w:cs="Arial"/>
                <w:b/>
                <w:sz w:val="26"/>
                <w:szCs w:val="26"/>
              </w:rPr>
              <w:t>Cuenta de generación del ingreso</w:t>
            </w:r>
          </w:p>
          <w:p w:rsidR="000A3871" w:rsidRPr="000A3871" w:rsidRDefault="000A3871" w:rsidP="000A3871">
            <w:pPr>
              <w:rPr>
                <w:rFonts w:asciiTheme="minorHAnsi" w:hAnsiTheme="minorHAnsi" w:cs="Arial"/>
                <w:b/>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601"/>
              <w:gridCol w:w="6282"/>
            </w:tblGrid>
            <w:tr w:rsidR="00C40CC5" w:rsidRPr="00FB3875" w:rsidTr="009D36F2">
              <w:trPr>
                <w:trHeight w:hRule="exact" w:val="973"/>
                <w:tblHeader/>
              </w:trPr>
              <w:tc>
                <w:tcPr>
                  <w:tcW w:w="535" w:type="pct"/>
                  <w:shd w:val="clear" w:color="auto" w:fill="DBE5F1" w:themeFill="accent1" w:themeFillTint="33"/>
                  <w:vAlign w:val="center"/>
                </w:tcPr>
                <w:p w:rsidR="00C40CC5" w:rsidRPr="006C3CAD" w:rsidRDefault="00C40CC5" w:rsidP="009D36F2">
                  <w:pPr>
                    <w:spacing w:before="120" w:after="120"/>
                    <w:jc w:val="center"/>
                    <w:rPr>
                      <w:rFonts w:asciiTheme="minorHAnsi" w:eastAsiaTheme="minorHAnsi" w:hAnsiTheme="minorHAnsi" w:cs="Arial"/>
                      <w:b/>
                      <w:bCs/>
                      <w:color w:val="000000"/>
                      <w:szCs w:val="22"/>
                      <w:lang w:val="es-EC"/>
                    </w:rPr>
                  </w:pPr>
                  <w:r w:rsidRPr="006C3CAD">
                    <w:rPr>
                      <w:rFonts w:asciiTheme="minorHAnsi" w:eastAsiaTheme="minorHAnsi" w:hAnsiTheme="minorHAnsi" w:cs="Arial"/>
                      <w:b/>
                      <w:bCs/>
                      <w:color w:val="000000"/>
                      <w:sz w:val="22"/>
                      <w:szCs w:val="22"/>
                      <w:lang w:val="es-EC"/>
                    </w:rPr>
                    <w:t>Código SCN 2008</w:t>
                  </w:r>
                </w:p>
              </w:tc>
              <w:tc>
                <w:tcPr>
                  <w:tcW w:w="907" w:type="pct"/>
                  <w:shd w:val="clear" w:color="auto" w:fill="DBE5F1" w:themeFill="accent1" w:themeFillTint="33"/>
                  <w:vAlign w:val="center"/>
                </w:tcPr>
                <w:p w:rsidR="00C40CC5" w:rsidRPr="006C3CAD" w:rsidRDefault="00C40CC5" w:rsidP="009D36F2">
                  <w:pPr>
                    <w:spacing w:before="120" w:after="120"/>
                    <w:jc w:val="center"/>
                    <w:rPr>
                      <w:rFonts w:asciiTheme="minorHAnsi" w:eastAsiaTheme="minorHAnsi" w:hAnsiTheme="minorHAnsi" w:cs="Arial"/>
                      <w:b/>
                      <w:bCs/>
                      <w:color w:val="000000"/>
                      <w:szCs w:val="22"/>
                      <w:lang w:val="es-EC"/>
                    </w:rPr>
                  </w:pPr>
                  <w:r w:rsidRPr="006C3CAD">
                    <w:rPr>
                      <w:rFonts w:asciiTheme="minorHAnsi" w:eastAsiaTheme="minorHAnsi" w:hAnsiTheme="minorHAnsi" w:cs="Arial"/>
                      <w:b/>
                      <w:bCs/>
                      <w:color w:val="000000"/>
                      <w:sz w:val="22"/>
                      <w:szCs w:val="22"/>
                      <w:lang w:val="es-EC"/>
                    </w:rPr>
                    <w:t xml:space="preserve"> Transacción</w:t>
                  </w:r>
                </w:p>
              </w:tc>
              <w:tc>
                <w:tcPr>
                  <w:tcW w:w="3557" w:type="pct"/>
                  <w:shd w:val="clear" w:color="auto" w:fill="DBE5F1" w:themeFill="accent1" w:themeFillTint="33"/>
                  <w:vAlign w:val="center"/>
                </w:tcPr>
                <w:p w:rsidR="00C40CC5" w:rsidRPr="006C3CAD" w:rsidRDefault="00C40CC5" w:rsidP="009D36F2">
                  <w:pPr>
                    <w:spacing w:before="120" w:after="120"/>
                    <w:jc w:val="center"/>
                    <w:rPr>
                      <w:rFonts w:asciiTheme="minorHAnsi" w:eastAsiaTheme="minorHAnsi" w:hAnsiTheme="minorHAnsi" w:cs="Arial"/>
                      <w:b/>
                      <w:bCs/>
                      <w:color w:val="000000"/>
                      <w:szCs w:val="22"/>
                      <w:lang w:val="es-EC"/>
                    </w:rPr>
                  </w:pPr>
                  <w:r w:rsidRPr="006C3CAD">
                    <w:rPr>
                      <w:rFonts w:asciiTheme="minorHAnsi" w:eastAsiaTheme="minorHAnsi" w:hAnsiTheme="minorHAnsi" w:cs="Arial"/>
                      <w:b/>
                      <w:bCs/>
                      <w:color w:val="000000"/>
                      <w:sz w:val="22"/>
                      <w:szCs w:val="22"/>
                      <w:lang w:val="es-EC"/>
                    </w:rPr>
                    <w:t>Descripción</w:t>
                  </w:r>
                </w:p>
              </w:tc>
            </w:tr>
            <w:tr w:rsidR="00C40CC5" w:rsidRPr="00FB3875" w:rsidTr="009D36F2">
              <w:trPr>
                <w:trHeight w:val="1000"/>
              </w:trPr>
              <w:tc>
                <w:tcPr>
                  <w:tcW w:w="535" w:type="pct"/>
                </w:tcPr>
                <w:p w:rsidR="00C40CC5" w:rsidRPr="00FB3875" w:rsidRDefault="00C40CC5" w:rsidP="009D36F2">
                  <w:pPr>
                    <w:spacing w:before="120" w:after="120"/>
                    <w:rPr>
                      <w:rFonts w:asciiTheme="minorHAnsi" w:hAnsiTheme="minorHAnsi" w:cs="Calibri"/>
                      <w:b/>
                      <w:szCs w:val="22"/>
                      <w:lang w:val="es-EC"/>
                    </w:rPr>
                  </w:pPr>
                  <w:r w:rsidRPr="00FB3875">
                    <w:rPr>
                      <w:rFonts w:asciiTheme="minorHAnsi" w:hAnsiTheme="minorHAnsi" w:cs="Calibri"/>
                      <w:b/>
                      <w:sz w:val="22"/>
                      <w:szCs w:val="22"/>
                      <w:lang w:val="es-EC"/>
                    </w:rPr>
                    <w:t>B.1</w:t>
                  </w:r>
                </w:p>
              </w:tc>
              <w:tc>
                <w:tcPr>
                  <w:tcW w:w="907" w:type="pct"/>
                </w:tcPr>
                <w:p w:rsidR="00C40CC5" w:rsidRPr="00FB3875" w:rsidRDefault="00C40CC5" w:rsidP="009D36F2">
                  <w:pPr>
                    <w:spacing w:before="120" w:after="120"/>
                    <w:rPr>
                      <w:rFonts w:asciiTheme="minorHAnsi" w:hAnsiTheme="minorHAnsi" w:cs="Calibri"/>
                      <w:b/>
                      <w:szCs w:val="22"/>
                      <w:lang w:val="es-EC"/>
                    </w:rPr>
                  </w:pPr>
                  <w:r w:rsidRPr="00FB3875">
                    <w:rPr>
                      <w:rFonts w:asciiTheme="minorHAnsi" w:hAnsiTheme="minorHAnsi" w:cs="Calibri"/>
                      <w:b/>
                      <w:sz w:val="22"/>
                      <w:szCs w:val="22"/>
                      <w:lang w:val="es-EC"/>
                    </w:rPr>
                    <w:t>Valor Agregado Bruto</w:t>
                  </w:r>
                </w:p>
              </w:tc>
              <w:tc>
                <w:tcPr>
                  <w:tcW w:w="3557" w:type="pct"/>
                  <w:vAlign w:val="center"/>
                </w:tcPr>
                <w:p w:rsidR="00C40CC5" w:rsidRPr="00FB3875" w:rsidRDefault="00C40CC5" w:rsidP="009D36F2">
                  <w:pPr>
                    <w:spacing w:before="120" w:after="120"/>
                    <w:jc w:val="both"/>
                    <w:rPr>
                      <w:rFonts w:asciiTheme="minorHAnsi" w:hAnsiTheme="minorHAnsi"/>
                      <w:szCs w:val="22"/>
                    </w:rPr>
                  </w:pPr>
                  <w:r w:rsidRPr="00FB3875">
                    <w:rPr>
                      <w:rFonts w:asciiTheme="minorHAnsi" w:hAnsiTheme="minorHAnsi"/>
                      <w:sz w:val="22"/>
                      <w:szCs w:val="22"/>
                    </w:rPr>
                    <w:t>Se define como la producción valorada a precios básicos menos el consumo intermedio valorado a precios de comprador. Desde el punto de vista del productor, los precios de comprador para los insumos y los precios básicos para los productos representan los precios realmente pagados y recibidos</w:t>
                  </w:r>
                </w:p>
              </w:tc>
            </w:tr>
            <w:tr w:rsidR="00C40CC5" w:rsidRPr="00FB3875" w:rsidTr="009D36F2">
              <w:trPr>
                <w:trHeight w:val="1000"/>
              </w:trPr>
              <w:tc>
                <w:tcPr>
                  <w:tcW w:w="535" w:type="pct"/>
                </w:tcPr>
                <w:p w:rsidR="00C40CC5" w:rsidRPr="00FB3875" w:rsidRDefault="00C40CC5" w:rsidP="009D36F2">
                  <w:pPr>
                    <w:spacing w:before="120" w:after="120"/>
                    <w:rPr>
                      <w:rFonts w:asciiTheme="minorHAnsi" w:hAnsiTheme="minorHAnsi"/>
                      <w:b/>
                      <w:szCs w:val="22"/>
                    </w:rPr>
                  </w:pPr>
                  <w:r w:rsidRPr="00FB3875">
                    <w:rPr>
                      <w:rFonts w:asciiTheme="minorHAnsi" w:hAnsiTheme="minorHAnsi"/>
                      <w:b/>
                      <w:sz w:val="22"/>
                      <w:szCs w:val="22"/>
                    </w:rPr>
                    <w:t>B.1n</w:t>
                  </w:r>
                </w:p>
              </w:tc>
              <w:tc>
                <w:tcPr>
                  <w:tcW w:w="907" w:type="pct"/>
                </w:tcPr>
                <w:p w:rsidR="00C40CC5" w:rsidRPr="00FB3875" w:rsidRDefault="00C40CC5" w:rsidP="009D36F2">
                  <w:pPr>
                    <w:spacing w:before="120" w:after="120"/>
                    <w:rPr>
                      <w:rFonts w:asciiTheme="minorHAnsi" w:hAnsiTheme="minorHAnsi"/>
                      <w:b/>
                      <w:szCs w:val="22"/>
                    </w:rPr>
                  </w:pPr>
                  <w:r w:rsidRPr="00FB3875">
                    <w:rPr>
                      <w:rFonts w:asciiTheme="minorHAnsi" w:hAnsiTheme="minorHAnsi"/>
                      <w:b/>
                      <w:sz w:val="22"/>
                      <w:szCs w:val="22"/>
                    </w:rPr>
                    <w:t>Valor Agregado Neto</w:t>
                  </w:r>
                </w:p>
              </w:tc>
              <w:tc>
                <w:tcPr>
                  <w:tcW w:w="3557" w:type="pct"/>
                  <w:vAlign w:val="center"/>
                </w:tcPr>
                <w:p w:rsidR="00C40CC5" w:rsidRPr="00FB3875" w:rsidRDefault="00C40CC5" w:rsidP="009D36F2">
                  <w:pPr>
                    <w:spacing w:before="120" w:after="120"/>
                    <w:jc w:val="both"/>
                    <w:rPr>
                      <w:rFonts w:asciiTheme="minorHAnsi" w:hAnsiTheme="minorHAnsi"/>
                      <w:szCs w:val="22"/>
                    </w:rPr>
                  </w:pPr>
                  <w:r w:rsidRPr="00FB3875">
                    <w:rPr>
                      <w:rFonts w:asciiTheme="minorHAnsi" w:hAnsiTheme="minorHAnsi"/>
                      <w:sz w:val="22"/>
                      <w:szCs w:val="22"/>
                    </w:rPr>
                    <w:t>Se define como el valor de la producción menos los valores tanto del consumo intermedio como del consumo de capital fijo</w:t>
                  </w:r>
                </w:p>
              </w:tc>
            </w:tr>
            <w:tr w:rsidR="00C40CC5" w:rsidRPr="00FB3875" w:rsidTr="009D36F2">
              <w:trPr>
                <w:trHeight w:val="1000"/>
              </w:trPr>
              <w:tc>
                <w:tcPr>
                  <w:tcW w:w="535" w:type="pct"/>
                </w:tcPr>
                <w:p w:rsidR="00C40CC5" w:rsidRPr="00FB3875" w:rsidRDefault="00C40CC5" w:rsidP="009D36F2">
                  <w:pPr>
                    <w:spacing w:before="120" w:after="120"/>
                    <w:rPr>
                      <w:rFonts w:asciiTheme="minorHAnsi" w:hAnsiTheme="minorHAnsi" w:cs="Calibri"/>
                      <w:b/>
                      <w:szCs w:val="22"/>
                      <w:lang w:val="es-EC"/>
                    </w:rPr>
                  </w:pPr>
                  <w:r w:rsidRPr="00FB3875">
                    <w:rPr>
                      <w:rFonts w:asciiTheme="minorHAnsi" w:hAnsiTheme="minorHAnsi" w:cs="Calibri"/>
                      <w:b/>
                      <w:sz w:val="22"/>
                      <w:szCs w:val="22"/>
                      <w:lang w:val="es-EC"/>
                    </w:rPr>
                    <w:t>D.1</w:t>
                  </w:r>
                </w:p>
              </w:tc>
              <w:tc>
                <w:tcPr>
                  <w:tcW w:w="907" w:type="pct"/>
                </w:tcPr>
                <w:p w:rsidR="00C40CC5" w:rsidRPr="00FB3875" w:rsidRDefault="00C40CC5" w:rsidP="009D36F2">
                  <w:pPr>
                    <w:spacing w:before="120" w:after="120"/>
                    <w:rPr>
                      <w:rFonts w:asciiTheme="minorHAnsi" w:hAnsiTheme="minorHAnsi" w:cs="Calibri"/>
                      <w:b/>
                      <w:color w:val="FF0000"/>
                      <w:szCs w:val="22"/>
                      <w:lang w:val="es-EC"/>
                    </w:rPr>
                  </w:pPr>
                  <w:r w:rsidRPr="00FB3875">
                    <w:rPr>
                      <w:rFonts w:asciiTheme="minorHAnsi" w:hAnsiTheme="minorHAnsi" w:cs="Calibri"/>
                      <w:b/>
                      <w:sz w:val="22"/>
                      <w:szCs w:val="22"/>
                      <w:lang w:val="es-EC"/>
                    </w:rPr>
                    <w:t>La remuneración de los empleados</w:t>
                  </w:r>
                </w:p>
              </w:tc>
              <w:tc>
                <w:tcPr>
                  <w:tcW w:w="3557" w:type="pct"/>
                  <w:vAlign w:val="center"/>
                </w:tcPr>
                <w:p w:rsidR="00C40CC5" w:rsidRPr="00FB3875" w:rsidRDefault="00C40CC5" w:rsidP="009D36F2">
                  <w:pPr>
                    <w:spacing w:before="120" w:after="120"/>
                    <w:jc w:val="both"/>
                    <w:rPr>
                      <w:rFonts w:asciiTheme="minorHAnsi" w:hAnsiTheme="minorHAnsi" w:cs="Calibri"/>
                      <w:szCs w:val="22"/>
                      <w:lang w:val="es-EC"/>
                    </w:rPr>
                  </w:pPr>
                  <w:r w:rsidRPr="00FB3875">
                    <w:rPr>
                      <w:rFonts w:asciiTheme="minorHAnsi" w:hAnsiTheme="minorHAnsi" w:cs="Calibri"/>
                      <w:sz w:val="22"/>
                      <w:szCs w:val="22"/>
                      <w:lang w:val="es-EC"/>
                    </w:rPr>
                    <w:t xml:space="preserve">La remuneración de los asalariados se define como la remuneración total, en dinero o en especie, a pagar por una empresa a un asalariado en contraprestación del trabajo realizado por éste durante el periodo contable. </w:t>
                  </w:r>
                </w:p>
                <w:p w:rsidR="00C40CC5" w:rsidRPr="00FB3875" w:rsidRDefault="00C40CC5" w:rsidP="009D36F2">
                  <w:pPr>
                    <w:spacing w:after="120"/>
                    <w:jc w:val="both"/>
                    <w:rPr>
                      <w:rFonts w:asciiTheme="minorHAnsi" w:hAnsiTheme="minorHAnsi"/>
                      <w:szCs w:val="22"/>
                      <w:lang w:val="es-ES_tradnl"/>
                    </w:rPr>
                  </w:pPr>
                  <w:r w:rsidRPr="00FB3875">
                    <w:rPr>
                      <w:rFonts w:asciiTheme="minorHAnsi" w:eastAsiaTheme="minorHAnsi" w:hAnsiTheme="minorHAnsi" w:cs="Arial"/>
                      <w:bCs/>
                      <w:color w:val="000000"/>
                      <w:sz w:val="22"/>
                      <w:szCs w:val="22"/>
                      <w:lang w:val="es-ES_tradnl"/>
                    </w:rPr>
                    <w:t xml:space="preserve">La remuneración de los asalariados se registra en los empleos de la cuenta de generación del ingreso y en los recursos de la cuenta de asignación del ingreso primario. </w:t>
                  </w:r>
                </w:p>
              </w:tc>
            </w:tr>
            <w:tr w:rsidR="00C40CC5" w:rsidRPr="00FB3875" w:rsidTr="009D36F2">
              <w:trPr>
                <w:trHeight w:val="156"/>
              </w:trPr>
              <w:tc>
                <w:tcPr>
                  <w:tcW w:w="535" w:type="pct"/>
                </w:tcPr>
                <w:p w:rsidR="00C40CC5" w:rsidRPr="00FB3875" w:rsidRDefault="00C40CC5" w:rsidP="009D36F2">
                  <w:pPr>
                    <w:spacing w:before="120" w:after="120"/>
                    <w:rPr>
                      <w:rFonts w:asciiTheme="minorHAnsi" w:hAnsiTheme="minorHAnsi" w:cs="Calibri"/>
                      <w:b/>
                      <w:szCs w:val="22"/>
                      <w:lang w:val="es-EC"/>
                    </w:rPr>
                  </w:pPr>
                  <w:r w:rsidRPr="00FB3875">
                    <w:rPr>
                      <w:rFonts w:asciiTheme="minorHAnsi" w:hAnsiTheme="minorHAnsi" w:cs="Calibri"/>
                      <w:b/>
                      <w:sz w:val="22"/>
                      <w:szCs w:val="22"/>
                      <w:lang w:val="es-EC"/>
                    </w:rPr>
                    <w:t>D.11</w:t>
                  </w:r>
                </w:p>
              </w:tc>
              <w:tc>
                <w:tcPr>
                  <w:tcW w:w="907" w:type="pct"/>
                </w:tcPr>
                <w:p w:rsidR="00C40CC5" w:rsidRPr="00FB3875" w:rsidRDefault="00C40CC5" w:rsidP="009D36F2">
                  <w:pPr>
                    <w:spacing w:before="120" w:after="120"/>
                    <w:rPr>
                      <w:rFonts w:asciiTheme="minorHAnsi" w:hAnsiTheme="minorHAnsi" w:cs="Calibri"/>
                      <w:szCs w:val="22"/>
                      <w:lang w:val="es-EC"/>
                    </w:rPr>
                  </w:pPr>
                  <w:r w:rsidRPr="00FB3875">
                    <w:rPr>
                      <w:rFonts w:asciiTheme="minorHAnsi" w:hAnsiTheme="minorHAnsi" w:cs="Calibri"/>
                      <w:b/>
                      <w:sz w:val="22"/>
                      <w:szCs w:val="22"/>
                      <w:lang w:val="es-EC"/>
                    </w:rPr>
                    <w:t>Sueldos y Salarios</w:t>
                  </w:r>
                </w:p>
              </w:tc>
              <w:tc>
                <w:tcPr>
                  <w:tcW w:w="3557" w:type="pct"/>
                  <w:vAlign w:val="center"/>
                </w:tcPr>
                <w:p w:rsidR="00C40CC5" w:rsidRPr="00FB3875" w:rsidRDefault="00C40CC5" w:rsidP="009D36F2">
                  <w:pPr>
                    <w:autoSpaceDE w:val="0"/>
                    <w:autoSpaceDN w:val="0"/>
                    <w:adjustRightInd w:val="0"/>
                    <w:spacing w:before="120" w:after="120"/>
                    <w:jc w:val="both"/>
                    <w:rPr>
                      <w:rFonts w:asciiTheme="minorHAnsi" w:hAnsiTheme="minorHAnsi" w:cs="Calibri"/>
                      <w:szCs w:val="22"/>
                      <w:lang w:val="es-EC"/>
                    </w:rPr>
                  </w:pPr>
                  <w:r w:rsidRPr="00FB3875">
                    <w:rPr>
                      <w:rFonts w:asciiTheme="minorHAnsi" w:hAnsiTheme="minorHAnsi" w:cs="Calibri"/>
                      <w:sz w:val="22"/>
                      <w:szCs w:val="22"/>
                      <w:lang w:val="es-EC"/>
                    </w:rPr>
                    <w:t xml:space="preserve">Los sueldos y salarios incluyen los valores de cualquier contribución social, de los impuestos sobre el ingreso, entre otros, por pagar por el empleado, incluso si en efecto son retenidos por el empleador por conveniencia administrativa o por otras razones y pagados directamente a los sistemas de seguros social, a las autoridades fiscales, entre otras, en nombre del asalariado. </w:t>
                  </w:r>
                </w:p>
                <w:p w:rsidR="00C40CC5" w:rsidRPr="00FB3875" w:rsidRDefault="00C40CC5" w:rsidP="009D36F2">
                  <w:pPr>
                    <w:autoSpaceDE w:val="0"/>
                    <w:autoSpaceDN w:val="0"/>
                    <w:adjustRightInd w:val="0"/>
                    <w:spacing w:before="120" w:after="120"/>
                    <w:jc w:val="both"/>
                    <w:rPr>
                      <w:rFonts w:asciiTheme="minorHAnsi" w:hAnsiTheme="minorHAnsi" w:cs="Calibri"/>
                      <w:szCs w:val="22"/>
                      <w:lang w:val="es-EC"/>
                    </w:rPr>
                  </w:pPr>
                  <w:r w:rsidRPr="00FB3875">
                    <w:rPr>
                      <w:rFonts w:asciiTheme="minorHAnsi" w:hAnsiTheme="minorHAnsi" w:cs="Calibri"/>
                      <w:sz w:val="22"/>
                      <w:szCs w:val="22"/>
                      <w:lang w:val="es-EC"/>
                    </w:rPr>
                    <w:t>Los sueldos y salarios pueden pagarse de varias maneras, incluyendo el suministro de bienes o servicios para los empleados como remuneración en especie en lugar de, o además de, la remuneración en dinero.</w:t>
                  </w:r>
                </w:p>
              </w:tc>
            </w:tr>
            <w:tr w:rsidR="00C40CC5" w:rsidRPr="00FB3875" w:rsidTr="009D36F2">
              <w:trPr>
                <w:trHeight w:val="156"/>
              </w:trPr>
              <w:tc>
                <w:tcPr>
                  <w:tcW w:w="535" w:type="pct"/>
                </w:tcPr>
                <w:p w:rsidR="00C40CC5" w:rsidRPr="00FB3875" w:rsidRDefault="00C40CC5" w:rsidP="009D36F2">
                  <w:pPr>
                    <w:spacing w:before="120" w:after="120"/>
                    <w:rPr>
                      <w:rFonts w:asciiTheme="minorHAnsi" w:hAnsiTheme="minorHAnsi" w:cs="Calibri"/>
                      <w:b/>
                      <w:szCs w:val="22"/>
                      <w:lang w:val="es-EC"/>
                    </w:rPr>
                  </w:pPr>
                  <w:r w:rsidRPr="00FB3875">
                    <w:rPr>
                      <w:rFonts w:asciiTheme="minorHAnsi" w:hAnsiTheme="minorHAnsi" w:cs="Calibri"/>
                      <w:b/>
                      <w:sz w:val="22"/>
                      <w:szCs w:val="22"/>
                      <w:lang w:val="es-EC"/>
                    </w:rPr>
                    <w:t>D.12</w:t>
                  </w:r>
                </w:p>
              </w:tc>
              <w:tc>
                <w:tcPr>
                  <w:tcW w:w="907" w:type="pct"/>
                </w:tcPr>
                <w:p w:rsidR="00C40CC5" w:rsidRPr="00FB3875" w:rsidRDefault="00C40CC5" w:rsidP="009D36F2">
                  <w:pPr>
                    <w:spacing w:before="120" w:after="120"/>
                    <w:rPr>
                      <w:rFonts w:asciiTheme="minorHAnsi" w:hAnsiTheme="minorHAnsi" w:cs="Calibri"/>
                      <w:szCs w:val="22"/>
                      <w:lang w:val="es-EC"/>
                    </w:rPr>
                  </w:pPr>
                  <w:r w:rsidRPr="00FB3875">
                    <w:rPr>
                      <w:rFonts w:asciiTheme="minorHAnsi" w:hAnsiTheme="minorHAnsi" w:cs="Calibri"/>
                      <w:b/>
                      <w:sz w:val="22"/>
                      <w:szCs w:val="22"/>
                      <w:lang w:val="es-EC"/>
                    </w:rPr>
                    <w:t>Contribuciones sociales de los empleadores</w:t>
                  </w:r>
                </w:p>
              </w:tc>
              <w:tc>
                <w:tcPr>
                  <w:tcW w:w="3557" w:type="pct"/>
                  <w:vAlign w:val="center"/>
                </w:tcPr>
                <w:p w:rsidR="00C40CC5" w:rsidRPr="00FB3875" w:rsidRDefault="00C40CC5" w:rsidP="009D36F2">
                  <w:pPr>
                    <w:spacing w:before="120" w:after="120"/>
                    <w:jc w:val="both"/>
                    <w:rPr>
                      <w:rFonts w:asciiTheme="minorHAnsi" w:hAnsiTheme="minorHAnsi" w:cs="Calibri"/>
                      <w:szCs w:val="22"/>
                      <w:lang w:val="es-EC"/>
                    </w:rPr>
                  </w:pPr>
                  <w:r w:rsidRPr="00FB3875">
                    <w:rPr>
                      <w:rFonts w:asciiTheme="minorHAnsi" w:hAnsiTheme="minorHAnsi" w:cs="Calibri"/>
                      <w:sz w:val="22"/>
                      <w:szCs w:val="22"/>
                      <w:lang w:val="es-EC"/>
                    </w:rPr>
                    <w:t>Las contribuciones sociales de los empleadores son contribuciones sociales a pagar por los empleadores a los fondos de seguridad social o a otros sistemas de seguros sociales relacionados con el empleo con el fin de asegurar las prestaciones sociales para sus asalariados. Los sistemas de seguridad social son administrados por el gobierno general; los otros sistemas de seguros sociales pueden ser administrados por los empleadores mismos, por una compañía aseguradora o por un sistema de pensiones autónomo.</w:t>
                  </w:r>
                </w:p>
              </w:tc>
            </w:tr>
            <w:tr w:rsidR="00C40CC5" w:rsidRPr="00FB3875" w:rsidTr="009D36F2">
              <w:trPr>
                <w:trHeight w:val="156"/>
              </w:trPr>
              <w:tc>
                <w:tcPr>
                  <w:tcW w:w="535" w:type="pct"/>
                </w:tcPr>
                <w:p w:rsidR="00C40CC5" w:rsidRPr="00FB3875" w:rsidRDefault="00C40CC5" w:rsidP="009D36F2">
                  <w:pPr>
                    <w:spacing w:before="120" w:after="120"/>
                    <w:rPr>
                      <w:rFonts w:asciiTheme="minorHAnsi" w:hAnsiTheme="minorHAnsi" w:cs="Calibri"/>
                      <w:b/>
                      <w:szCs w:val="22"/>
                      <w:lang w:val="es-EC"/>
                    </w:rPr>
                  </w:pPr>
                  <w:r w:rsidRPr="00FB3875">
                    <w:rPr>
                      <w:rFonts w:asciiTheme="minorHAnsi" w:hAnsiTheme="minorHAnsi" w:cs="Calibri"/>
                      <w:b/>
                      <w:sz w:val="22"/>
                      <w:szCs w:val="22"/>
                      <w:lang w:val="es-EC"/>
                    </w:rPr>
                    <w:lastRenderedPageBreak/>
                    <w:t>D.121</w:t>
                  </w:r>
                </w:p>
              </w:tc>
              <w:tc>
                <w:tcPr>
                  <w:tcW w:w="907" w:type="pct"/>
                </w:tcPr>
                <w:p w:rsidR="00C40CC5" w:rsidRPr="00FB3875" w:rsidRDefault="00C40CC5" w:rsidP="009D36F2">
                  <w:pPr>
                    <w:spacing w:before="120" w:after="120"/>
                    <w:rPr>
                      <w:rFonts w:asciiTheme="minorHAnsi" w:hAnsiTheme="minorHAnsi"/>
                      <w:b/>
                      <w:szCs w:val="22"/>
                    </w:rPr>
                  </w:pPr>
                  <w:r w:rsidRPr="00FB3875">
                    <w:rPr>
                      <w:rFonts w:asciiTheme="minorHAnsi" w:hAnsiTheme="minorHAnsi"/>
                      <w:b/>
                      <w:sz w:val="22"/>
                      <w:szCs w:val="22"/>
                    </w:rPr>
                    <w:t>Contribuciones sociales  efectiva de los empleadores</w:t>
                  </w:r>
                </w:p>
              </w:tc>
              <w:tc>
                <w:tcPr>
                  <w:tcW w:w="3557" w:type="pct"/>
                  <w:vAlign w:val="center"/>
                </w:tcPr>
                <w:p w:rsidR="00C40CC5" w:rsidRPr="00FB3875" w:rsidRDefault="00C40CC5" w:rsidP="009D36F2">
                  <w:pPr>
                    <w:spacing w:before="120" w:after="120"/>
                    <w:jc w:val="both"/>
                    <w:rPr>
                      <w:rFonts w:asciiTheme="minorHAnsi" w:hAnsiTheme="minorHAnsi" w:cs="Calibri"/>
                      <w:szCs w:val="22"/>
                      <w:lang w:val="es-EC"/>
                    </w:rPr>
                  </w:pPr>
                  <w:r w:rsidRPr="00FB3875">
                    <w:rPr>
                      <w:rFonts w:asciiTheme="minorHAnsi" w:hAnsiTheme="minorHAnsi" w:cs="Calibri"/>
                      <w:sz w:val="22"/>
                      <w:szCs w:val="22"/>
                      <w:lang w:val="es-EC"/>
                    </w:rPr>
                    <w:t>Las contribuciones efectivas de los empleadores para los sistemas de seguros sociales consisten en las contribuciones efectivas realizadas a la seguridad social y a los otros sistemas relacionados con el empleo. Las contribuciones relacionadas con las pensiones y con otras prestaciones se muestran por separado</w:t>
                  </w:r>
                  <w:proofErr w:type="gramStart"/>
                  <w:r w:rsidRPr="00FB3875">
                    <w:rPr>
                      <w:rFonts w:asciiTheme="minorHAnsi" w:hAnsiTheme="minorHAnsi" w:cs="Calibri"/>
                      <w:sz w:val="22"/>
                      <w:szCs w:val="22"/>
                      <w:lang w:val="es-EC"/>
                    </w:rPr>
                    <w:t>..</w:t>
                  </w:r>
                  <w:proofErr w:type="gramEnd"/>
                </w:p>
              </w:tc>
            </w:tr>
            <w:tr w:rsidR="00C40CC5" w:rsidRPr="00FB3875" w:rsidTr="009D36F2">
              <w:trPr>
                <w:trHeight w:val="156"/>
              </w:trPr>
              <w:tc>
                <w:tcPr>
                  <w:tcW w:w="535" w:type="pct"/>
                </w:tcPr>
                <w:p w:rsidR="00C40CC5" w:rsidRPr="00FB3875" w:rsidRDefault="00C40CC5" w:rsidP="009D36F2">
                  <w:pPr>
                    <w:spacing w:before="120" w:after="120"/>
                    <w:rPr>
                      <w:rFonts w:asciiTheme="minorHAnsi" w:hAnsiTheme="minorHAnsi" w:cs="Calibri"/>
                      <w:b/>
                      <w:szCs w:val="22"/>
                      <w:lang w:val="es-EC"/>
                    </w:rPr>
                  </w:pPr>
                  <w:r w:rsidRPr="00FB3875">
                    <w:rPr>
                      <w:rFonts w:asciiTheme="minorHAnsi" w:hAnsiTheme="minorHAnsi" w:cs="Calibri"/>
                      <w:b/>
                      <w:sz w:val="22"/>
                      <w:szCs w:val="22"/>
                      <w:lang w:val="es-EC"/>
                    </w:rPr>
                    <w:t>D.122</w:t>
                  </w:r>
                </w:p>
              </w:tc>
              <w:tc>
                <w:tcPr>
                  <w:tcW w:w="907" w:type="pct"/>
                </w:tcPr>
                <w:p w:rsidR="00C40CC5" w:rsidRPr="00FB3875" w:rsidRDefault="00C40CC5" w:rsidP="009D36F2">
                  <w:pPr>
                    <w:spacing w:before="120" w:after="120"/>
                    <w:rPr>
                      <w:rFonts w:asciiTheme="minorHAnsi" w:hAnsiTheme="minorHAnsi" w:cs="Calibri"/>
                      <w:b/>
                      <w:szCs w:val="22"/>
                      <w:lang w:val="es-EC"/>
                    </w:rPr>
                  </w:pPr>
                  <w:r w:rsidRPr="00FB3875">
                    <w:rPr>
                      <w:rFonts w:asciiTheme="minorHAnsi" w:hAnsiTheme="minorHAnsi"/>
                      <w:b/>
                      <w:sz w:val="22"/>
                      <w:szCs w:val="22"/>
                    </w:rPr>
                    <w:t>Contribuciones sociales  imputadas de los empleadores</w:t>
                  </w:r>
                </w:p>
              </w:tc>
              <w:tc>
                <w:tcPr>
                  <w:tcW w:w="3557" w:type="pct"/>
                  <w:vAlign w:val="center"/>
                </w:tcPr>
                <w:p w:rsidR="00C40CC5" w:rsidRPr="00FB3875" w:rsidRDefault="00C40CC5" w:rsidP="009D36F2">
                  <w:pPr>
                    <w:spacing w:before="120" w:after="120"/>
                    <w:jc w:val="both"/>
                    <w:rPr>
                      <w:rFonts w:asciiTheme="minorHAnsi" w:hAnsiTheme="minorHAnsi" w:cs="Calibri"/>
                      <w:szCs w:val="22"/>
                      <w:lang w:val="es-ES_tradnl"/>
                    </w:rPr>
                  </w:pPr>
                  <w:r w:rsidRPr="00FB3875">
                    <w:rPr>
                      <w:rFonts w:asciiTheme="minorHAnsi" w:hAnsiTheme="minorHAnsi" w:cs="Calibri"/>
                      <w:sz w:val="22"/>
                      <w:szCs w:val="22"/>
                      <w:lang w:val="es-ES_tradnl"/>
                    </w:rPr>
                    <w:t>Es el valor de las prestaciones sociales proporcionadas por los empleadores directamente a sus asalariados, con cargo a sus propios recursos.</w:t>
                  </w:r>
                </w:p>
              </w:tc>
            </w:tr>
            <w:tr w:rsidR="00C40CC5" w:rsidRPr="00FB3875" w:rsidTr="009D36F2">
              <w:trPr>
                <w:trHeight w:val="156"/>
              </w:trPr>
              <w:tc>
                <w:tcPr>
                  <w:tcW w:w="535" w:type="pct"/>
                </w:tcPr>
                <w:p w:rsidR="00C40CC5" w:rsidRPr="00FB3875" w:rsidRDefault="00C40CC5" w:rsidP="009D36F2">
                  <w:pPr>
                    <w:spacing w:before="120" w:after="120"/>
                    <w:rPr>
                      <w:rFonts w:asciiTheme="minorHAnsi" w:hAnsiTheme="minorHAnsi" w:cs="Calibri"/>
                      <w:b/>
                      <w:szCs w:val="22"/>
                      <w:lang w:val="es-EC"/>
                    </w:rPr>
                  </w:pPr>
                  <w:r w:rsidRPr="00FB3875">
                    <w:rPr>
                      <w:rFonts w:asciiTheme="minorHAnsi" w:hAnsiTheme="minorHAnsi" w:cs="Calibri"/>
                      <w:b/>
                      <w:sz w:val="22"/>
                      <w:szCs w:val="22"/>
                      <w:lang w:val="es-EC"/>
                    </w:rPr>
                    <w:t>D.29</w:t>
                  </w:r>
                </w:p>
              </w:tc>
              <w:tc>
                <w:tcPr>
                  <w:tcW w:w="907" w:type="pct"/>
                </w:tcPr>
                <w:p w:rsidR="00C40CC5" w:rsidRPr="00FB3875" w:rsidRDefault="00C40CC5" w:rsidP="009D36F2">
                  <w:pPr>
                    <w:spacing w:before="120" w:after="120"/>
                    <w:rPr>
                      <w:rFonts w:asciiTheme="minorHAnsi" w:hAnsiTheme="minorHAnsi"/>
                      <w:b/>
                      <w:szCs w:val="22"/>
                    </w:rPr>
                  </w:pPr>
                  <w:r w:rsidRPr="00FB3875">
                    <w:rPr>
                      <w:rFonts w:asciiTheme="minorHAnsi" w:hAnsiTheme="minorHAnsi"/>
                      <w:b/>
                      <w:sz w:val="22"/>
                      <w:szCs w:val="22"/>
                    </w:rPr>
                    <w:t>Otros impuestos sobre la producción</w:t>
                  </w:r>
                </w:p>
              </w:tc>
              <w:tc>
                <w:tcPr>
                  <w:tcW w:w="3557" w:type="pct"/>
                  <w:vAlign w:val="center"/>
                </w:tcPr>
                <w:p w:rsidR="00C40CC5" w:rsidRPr="00FB3875" w:rsidRDefault="00C40CC5" w:rsidP="009D36F2">
                  <w:pPr>
                    <w:autoSpaceDE w:val="0"/>
                    <w:autoSpaceDN w:val="0"/>
                    <w:adjustRightInd w:val="0"/>
                    <w:jc w:val="both"/>
                    <w:rPr>
                      <w:rFonts w:asciiTheme="minorHAnsi" w:hAnsiTheme="minorHAnsi" w:cs="Calibri"/>
                      <w:szCs w:val="22"/>
                      <w:lang w:val="es-EC"/>
                    </w:rPr>
                  </w:pPr>
                  <w:r w:rsidRPr="00FB3875">
                    <w:rPr>
                      <w:rFonts w:asciiTheme="minorHAnsi" w:hAnsiTheme="minorHAnsi" w:cs="Calibri"/>
                      <w:sz w:val="22"/>
                      <w:szCs w:val="22"/>
                      <w:lang w:val="es-EC"/>
                    </w:rPr>
                    <w:t>Los impuestos son pagos obligatorios sin contrapartida, en dinero o en especie, que las unidades institucionales hacen a las unidades gubernamentales.</w:t>
                  </w:r>
                </w:p>
                <w:p w:rsidR="00C40CC5" w:rsidRPr="00FB3875" w:rsidRDefault="00C40CC5" w:rsidP="009D36F2">
                  <w:pPr>
                    <w:autoSpaceDE w:val="0"/>
                    <w:autoSpaceDN w:val="0"/>
                    <w:adjustRightInd w:val="0"/>
                    <w:jc w:val="both"/>
                    <w:rPr>
                      <w:rFonts w:asciiTheme="minorHAnsi" w:hAnsiTheme="minorHAnsi" w:cs="Calibri"/>
                      <w:szCs w:val="22"/>
                      <w:lang w:val="es-EC"/>
                    </w:rPr>
                  </w:pPr>
                  <w:r w:rsidRPr="00FB3875">
                    <w:rPr>
                      <w:rFonts w:asciiTheme="minorHAnsi" w:hAnsiTheme="minorHAnsi" w:cs="Calibri"/>
                      <w:sz w:val="22"/>
                      <w:szCs w:val="22"/>
                      <w:lang w:val="es-EC"/>
                    </w:rPr>
                    <w:t>Se dice que son sin contrapartida porque el gobierno no ofrece nada a cambio a la unidad individual que hace el pago, aunque los gobiernos pueden utilizar los fondos recaudados mediante impuestos para proporcionar bienes o servicios a otras unidades, ya</w:t>
                  </w:r>
                </w:p>
                <w:p w:rsidR="00C40CC5" w:rsidRPr="00FB3875" w:rsidRDefault="00C40CC5" w:rsidP="009D36F2">
                  <w:pPr>
                    <w:autoSpaceDE w:val="0"/>
                    <w:autoSpaceDN w:val="0"/>
                    <w:adjustRightInd w:val="0"/>
                    <w:jc w:val="both"/>
                    <w:rPr>
                      <w:rFonts w:asciiTheme="minorHAnsi" w:hAnsiTheme="minorHAnsi"/>
                      <w:szCs w:val="22"/>
                    </w:rPr>
                  </w:pPr>
                  <w:proofErr w:type="gramStart"/>
                  <w:r w:rsidRPr="00FB3875">
                    <w:rPr>
                      <w:rFonts w:asciiTheme="minorHAnsi" w:hAnsiTheme="minorHAnsi" w:cs="Calibri"/>
                      <w:sz w:val="22"/>
                      <w:szCs w:val="22"/>
                      <w:lang w:val="es-EC"/>
                    </w:rPr>
                    <w:t>sea</w:t>
                  </w:r>
                  <w:proofErr w:type="gramEnd"/>
                  <w:r w:rsidRPr="00FB3875">
                    <w:rPr>
                      <w:rFonts w:asciiTheme="minorHAnsi" w:hAnsiTheme="minorHAnsi" w:cs="Calibri"/>
                      <w:sz w:val="22"/>
                      <w:szCs w:val="22"/>
                      <w:lang w:val="es-EC"/>
                    </w:rPr>
                    <w:t xml:space="preserve"> individual o colectivamente, o a la comunidad en su conjunto.</w:t>
                  </w:r>
                </w:p>
              </w:tc>
            </w:tr>
            <w:tr w:rsidR="00C40CC5" w:rsidRPr="00FB3875" w:rsidTr="009D36F2">
              <w:trPr>
                <w:trHeight w:val="156"/>
              </w:trPr>
              <w:tc>
                <w:tcPr>
                  <w:tcW w:w="535" w:type="pct"/>
                </w:tcPr>
                <w:p w:rsidR="00C40CC5" w:rsidRPr="00FB3875" w:rsidRDefault="00C40CC5" w:rsidP="009D36F2">
                  <w:pPr>
                    <w:spacing w:before="120" w:after="120"/>
                    <w:rPr>
                      <w:rFonts w:asciiTheme="minorHAnsi" w:hAnsiTheme="minorHAnsi" w:cs="Calibri"/>
                      <w:b/>
                      <w:szCs w:val="22"/>
                      <w:lang w:val="es-EC"/>
                    </w:rPr>
                  </w:pPr>
                  <w:r w:rsidRPr="00FB3875">
                    <w:rPr>
                      <w:rFonts w:asciiTheme="minorHAnsi" w:hAnsiTheme="minorHAnsi" w:cs="Calibri"/>
                      <w:b/>
                      <w:sz w:val="22"/>
                      <w:szCs w:val="22"/>
                      <w:lang w:val="es-EC"/>
                    </w:rPr>
                    <w:t>D.39</w:t>
                  </w:r>
                </w:p>
              </w:tc>
              <w:tc>
                <w:tcPr>
                  <w:tcW w:w="907" w:type="pct"/>
                </w:tcPr>
                <w:p w:rsidR="00C40CC5" w:rsidRPr="00FB3875" w:rsidRDefault="00C40CC5" w:rsidP="009D36F2">
                  <w:pPr>
                    <w:spacing w:before="120" w:after="120"/>
                    <w:rPr>
                      <w:rFonts w:asciiTheme="minorHAnsi" w:hAnsiTheme="minorHAnsi"/>
                      <w:b/>
                      <w:szCs w:val="22"/>
                    </w:rPr>
                  </w:pPr>
                  <w:r w:rsidRPr="00FB3875">
                    <w:rPr>
                      <w:rFonts w:asciiTheme="minorHAnsi" w:hAnsiTheme="minorHAnsi"/>
                      <w:b/>
                      <w:sz w:val="22"/>
                      <w:szCs w:val="22"/>
                    </w:rPr>
                    <w:t>Otras subvenciones a la producción</w:t>
                  </w:r>
                </w:p>
              </w:tc>
              <w:tc>
                <w:tcPr>
                  <w:tcW w:w="3557" w:type="pct"/>
                  <w:vAlign w:val="center"/>
                </w:tcPr>
                <w:p w:rsidR="00C40CC5" w:rsidRPr="00FB3875" w:rsidRDefault="00C40CC5" w:rsidP="009D36F2">
                  <w:pPr>
                    <w:spacing w:before="120" w:after="120"/>
                    <w:jc w:val="both"/>
                    <w:rPr>
                      <w:rFonts w:asciiTheme="minorHAnsi" w:hAnsiTheme="minorHAnsi"/>
                      <w:szCs w:val="22"/>
                      <w:highlight w:val="yellow"/>
                    </w:rPr>
                  </w:pPr>
                  <w:r w:rsidRPr="00FB3875">
                    <w:rPr>
                      <w:rFonts w:asciiTheme="minorHAnsi" w:hAnsiTheme="minorHAnsi"/>
                      <w:sz w:val="22"/>
                      <w:szCs w:val="22"/>
                    </w:rPr>
                    <w:t>Comprenden   las    subvenciones,   excepto    las subvenciones a los productos, que las empresas residentes pueden recibir como consecuencia de su participación en  la  producción</w:t>
                  </w:r>
                </w:p>
              </w:tc>
            </w:tr>
            <w:tr w:rsidR="00C40CC5" w:rsidRPr="00FB3875" w:rsidTr="009D36F2">
              <w:trPr>
                <w:trHeight w:val="156"/>
              </w:trPr>
              <w:tc>
                <w:tcPr>
                  <w:tcW w:w="535" w:type="pct"/>
                </w:tcPr>
                <w:p w:rsidR="00C40CC5" w:rsidRPr="00FB3875" w:rsidRDefault="00C40CC5" w:rsidP="009D36F2">
                  <w:pPr>
                    <w:spacing w:before="120" w:after="120"/>
                    <w:rPr>
                      <w:rFonts w:asciiTheme="minorHAnsi" w:hAnsiTheme="minorHAnsi" w:cs="Calibri"/>
                      <w:b/>
                      <w:szCs w:val="22"/>
                      <w:lang w:val="es-EC"/>
                    </w:rPr>
                  </w:pPr>
                  <w:r w:rsidRPr="00FB3875">
                    <w:rPr>
                      <w:rFonts w:asciiTheme="minorHAnsi" w:hAnsiTheme="minorHAnsi" w:cs="Calibri"/>
                      <w:b/>
                      <w:sz w:val="22"/>
                      <w:szCs w:val="22"/>
                      <w:lang w:val="es-EC"/>
                    </w:rPr>
                    <w:t>B.2b</w:t>
                  </w:r>
                </w:p>
              </w:tc>
              <w:tc>
                <w:tcPr>
                  <w:tcW w:w="907" w:type="pct"/>
                </w:tcPr>
                <w:p w:rsidR="00C40CC5" w:rsidRPr="00FB3875" w:rsidRDefault="00C40CC5" w:rsidP="009D36F2">
                  <w:pPr>
                    <w:spacing w:before="120" w:after="120"/>
                    <w:rPr>
                      <w:rFonts w:asciiTheme="minorHAnsi" w:hAnsiTheme="minorHAnsi"/>
                      <w:b/>
                      <w:szCs w:val="22"/>
                    </w:rPr>
                  </w:pPr>
                  <w:r w:rsidRPr="00FB3875">
                    <w:rPr>
                      <w:rFonts w:asciiTheme="minorHAnsi" w:hAnsiTheme="minorHAnsi" w:cs="Calibri"/>
                      <w:b/>
                      <w:bCs/>
                      <w:color w:val="000000"/>
                      <w:sz w:val="22"/>
                      <w:szCs w:val="22"/>
                      <w:lang w:val="es-EC" w:eastAsia="es-EC"/>
                    </w:rPr>
                    <w:t>Excedente de explotación bruto</w:t>
                  </w:r>
                </w:p>
              </w:tc>
              <w:tc>
                <w:tcPr>
                  <w:tcW w:w="3557" w:type="pct"/>
                  <w:vAlign w:val="center"/>
                </w:tcPr>
                <w:p w:rsidR="00C40CC5" w:rsidRPr="00FB3875" w:rsidRDefault="00C40CC5" w:rsidP="009D36F2">
                  <w:pPr>
                    <w:spacing w:before="120" w:after="120"/>
                    <w:jc w:val="both"/>
                    <w:rPr>
                      <w:rFonts w:asciiTheme="minorHAnsi" w:hAnsiTheme="minorHAnsi"/>
                      <w:b/>
                      <w:szCs w:val="22"/>
                    </w:rPr>
                  </w:pPr>
                  <w:r w:rsidRPr="00FB3875">
                    <w:rPr>
                      <w:rFonts w:asciiTheme="minorHAnsi" w:hAnsiTheme="minorHAnsi"/>
                      <w:bCs/>
                      <w:sz w:val="22"/>
                      <w:szCs w:val="22"/>
                      <w:lang w:val="es-MX"/>
                    </w:rPr>
                    <w:t>Es la remuneración al capital en su calidad de factor de producción, también es una denominación  alternativa  del saldo contable de la cuenta de generación del ingreso que se utiliza para diferentes tipos de empresas a excepción de los hogares</w:t>
                  </w:r>
                </w:p>
              </w:tc>
            </w:tr>
            <w:tr w:rsidR="00C40CC5" w:rsidRPr="00FB3875" w:rsidTr="009D36F2">
              <w:trPr>
                <w:trHeight w:val="156"/>
              </w:trPr>
              <w:tc>
                <w:tcPr>
                  <w:tcW w:w="535" w:type="pct"/>
                </w:tcPr>
                <w:p w:rsidR="00C40CC5" w:rsidRPr="00FB3875" w:rsidRDefault="00C40CC5" w:rsidP="009D36F2">
                  <w:pPr>
                    <w:spacing w:before="120" w:after="120"/>
                    <w:rPr>
                      <w:rFonts w:asciiTheme="minorHAnsi" w:hAnsiTheme="minorHAnsi" w:cs="Calibri"/>
                      <w:b/>
                      <w:szCs w:val="22"/>
                      <w:lang w:val="es-EC"/>
                    </w:rPr>
                  </w:pPr>
                  <w:r w:rsidRPr="00FB3875">
                    <w:rPr>
                      <w:rFonts w:asciiTheme="minorHAnsi" w:hAnsiTheme="minorHAnsi" w:cs="Calibri"/>
                      <w:b/>
                      <w:sz w:val="22"/>
                      <w:szCs w:val="22"/>
                      <w:lang w:val="es-EC"/>
                    </w:rPr>
                    <w:t>B.3b</w:t>
                  </w:r>
                </w:p>
              </w:tc>
              <w:tc>
                <w:tcPr>
                  <w:tcW w:w="907" w:type="pct"/>
                </w:tcPr>
                <w:p w:rsidR="00C40CC5" w:rsidRPr="00FB3875" w:rsidRDefault="00C40CC5" w:rsidP="009D36F2">
                  <w:pPr>
                    <w:spacing w:before="120" w:after="120"/>
                    <w:rPr>
                      <w:rFonts w:asciiTheme="minorHAnsi" w:hAnsiTheme="minorHAnsi" w:cs="Calibri"/>
                      <w:b/>
                      <w:bCs/>
                      <w:color w:val="000000"/>
                      <w:szCs w:val="22"/>
                      <w:lang w:val="es-EC" w:eastAsia="es-EC"/>
                    </w:rPr>
                  </w:pPr>
                  <w:r w:rsidRPr="00FB3875">
                    <w:rPr>
                      <w:rFonts w:asciiTheme="minorHAnsi" w:hAnsiTheme="minorHAnsi" w:cs="Calibri"/>
                      <w:b/>
                      <w:bCs/>
                      <w:color w:val="000000"/>
                      <w:sz w:val="22"/>
                      <w:szCs w:val="22"/>
                      <w:lang w:val="es-EC" w:eastAsia="es-EC"/>
                    </w:rPr>
                    <w:t>Ingreso mixto bruto</w:t>
                  </w:r>
                </w:p>
              </w:tc>
              <w:tc>
                <w:tcPr>
                  <w:tcW w:w="3557" w:type="pct"/>
                  <w:vAlign w:val="center"/>
                </w:tcPr>
                <w:p w:rsidR="00C40CC5" w:rsidRPr="00FB3875" w:rsidRDefault="00C40CC5" w:rsidP="009D36F2">
                  <w:pPr>
                    <w:spacing w:before="120" w:after="120"/>
                    <w:jc w:val="both"/>
                    <w:rPr>
                      <w:rFonts w:asciiTheme="minorHAnsi" w:hAnsiTheme="minorHAnsi"/>
                      <w:bCs/>
                      <w:szCs w:val="22"/>
                      <w:lang w:val="es-MX"/>
                    </w:rPr>
                  </w:pPr>
                  <w:r w:rsidRPr="00FB3875">
                    <w:rPr>
                      <w:rFonts w:asciiTheme="minorHAnsi" w:hAnsiTheme="minorHAnsi"/>
                      <w:bCs/>
                      <w:sz w:val="22"/>
                      <w:szCs w:val="22"/>
                      <w:lang w:val="es-MX"/>
                    </w:rPr>
                    <w:t>Es la remuneración al capital en su calidad de factor de producción, también es una denominación  alternativa  del saldo contable de la cuenta de generación del ingreso que se utiliza para diferentes tipos de empresas. Se utiliza solamente para el sector hogares productores.</w:t>
                  </w:r>
                </w:p>
              </w:tc>
            </w:tr>
            <w:tr w:rsidR="00C40CC5" w:rsidRPr="00FB3875" w:rsidTr="009D36F2">
              <w:trPr>
                <w:trHeight w:val="156"/>
              </w:trPr>
              <w:tc>
                <w:tcPr>
                  <w:tcW w:w="535" w:type="pct"/>
                </w:tcPr>
                <w:p w:rsidR="00C40CC5" w:rsidRPr="00FB3875" w:rsidRDefault="00C40CC5" w:rsidP="009D36F2">
                  <w:pPr>
                    <w:spacing w:before="120" w:after="120"/>
                    <w:rPr>
                      <w:rFonts w:asciiTheme="minorHAnsi" w:hAnsiTheme="minorHAnsi" w:cs="Calibri"/>
                      <w:b/>
                      <w:szCs w:val="22"/>
                      <w:lang w:val="es-EC"/>
                    </w:rPr>
                  </w:pPr>
                  <w:r w:rsidRPr="00FB3875">
                    <w:rPr>
                      <w:rFonts w:asciiTheme="minorHAnsi" w:hAnsiTheme="minorHAnsi" w:cs="Calibri"/>
                      <w:b/>
                      <w:sz w:val="22"/>
                      <w:szCs w:val="22"/>
                      <w:lang w:val="es-EC"/>
                    </w:rPr>
                    <w:t>B.2n</w:t>
                  </w:r>
                </w:p>
              </w:tc>
              <w:tc>
                <w:tcPr>
                  <w:tcW w:w="907" w:type="pct"/>
                </w:tcPr>
                <w:p w:rsidR="00C40CC5" w:rsidRPr="00FB3875" w:rsidRDefault="00C40CC5" w:rsidP="009D36F2">
                  <w:pPr>
                    <w:spacing w:before="120" w:after="120"/>
                    <w:rPr>
                      <w:rFonts w:asciiTheme="minorHAnsi" w:hAnsiTheme="minorHAnsi" w:cs="Calibri"/>
                      <w:b/>
                      <w:bCs/>
                      <w:color w:val="000000"/>
                      <w:szCs w:val="22"/>
                      <w:lang w:val="es-EC" w:eastAsia="es-EC"/>
                    </w:rPr>
                  </w:pPr>
                  <w:r w:rsidRPr="00FB3875">
                    <w:rPr>
                      <w:rFonts w:asciiTheme="minorHAnsi" w:hAnsiTheme="minorHAnsi" w:cs="Calibri"/>
                      <w:b/>
                      <w:bCs/>
                      <w:color w:val="000000"/>
                      <w:sz w:val="22"/>
                      <w:szCs w:val="22"/>
                      <w:lang w:val="es-EC" w:eastAsia="es-EC"/>
                    </w:rPr>
                    <w:t>Excedente de explotación neto</w:t>
                  </w:r>
                </w:p>
              </w:tc>
              <w:tc>
                <w:tcPr>
                  <w:tcW w:w="3557" w:type="pct"/>
                  <w:vAlign w:val="center"/>
                </w:tcPr>
                <w:p w:rsidR="00C40CC5" w:rsidRPr="00FB3875" w:rsidRDefault="00C40CC5" w:rsidP="009D36F2">
                  <w:pPr>
                    <w:spacing w:before="120" w:after="120"/>
                    <w:jc w:val="both"/>
                    <w:rPr>
                      <w:rFonts w:asciiTheme="minorHAnsi" w:hAnsiTheme="minorHAnsi"/>
                      <w:b/>
                      <w:szCs w:val="22"/>
                    </w:rPr>
                  </w:pPr>
                  <w:r w:rsidRPr="00FB3875">
                    <w:rPr>
                      <w:rFonts w:asciiTheme="minorHAnsi" w:hAnsiTheme="minorHAnsi"/>
                      <w:bCs/>
                      <w:sz w:val="22"/>
                      <w:szCs w:val="22"/>
                      <w:lang w:val="es-MX"/>
                    </w:rPr>
                    <w:t>Es la remuneración al capital en su calidad de factor de producción descontado el consumo de capital fijo, también es una denominación  alternativa  del saldo contable neto de la cuenta de generación del ingreso que se utiliza para diferentes tipos de empresas a excepción de los hogares.</w:t>
                  </w:r>
                </w:p>
              </w:tc>
            </w:tr>
            <w:tr w:rsidR="00C40CC5" w:rsidRPr="00FB3875" w:rsidTr="009D36F2">
              <w:trPr>
                <w:trHeight w:val="156"/>
              </w:trPr>
              <w:tc>
                <w:tcPr>
                  <w:tcW w:w="535" w:type="pct"/>
                </w:tcPr>
                <w:p w:rsidR="00C40CC5" w:rsidRPr="00FB3875" w:rsidRDefault="00C40CC5" w:rsidP="009D36F2">
                  <w:pPr>
                    <w:spacing w:before="120" w:after="120"/>
                    <w:rPr>
                      <w:rFonts w:asciiTheme="minorHAnsi" w:hAnsiTheme="minorHAnsi" w:cs="Calibri"/>
                      <w:b/>
                      <w:szCs w:val="22"/>
                      <w:lang w:val="es-EC"/>
                    </w:rPr>
                  </w:pPr>
                  <w:r w:rsidRPr="00FB3875">
                    <w:rPr>
                      <w:rFonts w:asciiTheme="minorHAnsi" w:hAnsiTheme="minorHAnsi" w:cs="Calibri"/>
                      <w:b/>
                      <w:sz w:val="22"/>
                      <w:szCs w:val="22"/>
                      <w:lang w:val="es-EC"/>
                    </w:rPr>
                    <w:t>B.3n</w:t>
                  </w:r>
                </w:p>
              </w:tc>
              <w:tc>
                <w:tcPr>
                  <w:tcW w:w="907" w:type="pct"/>
                </w:tcPr>
                <w:p w:rsidR="00C40CC5" w:rsidRPr="00FB3875" w:rsidRDefault="00C40CC5" w:rsidP="009D36F2">
                  <w:pPr>
                    <w:spacing w:before="120" w:after="120"/>
                    <w:rPr>
                      <w:rFonts w:asciiTheme="minorHAnsi" w:hAnsiTheme="minorHAnsi" w:cs="Calibri"/>
                      <w:b/>
                      <w:bCs/>
                      <w:color w:val="000000"/>
                      <w:szCs w:val="22"/>
                      <w:lang w:val="es-EC" w:eastAsia="es-EC"/>
                    </w:rPr>
                  </w:pPr>
                  <w:r w:rsidRPr="00FB3875">
                    <w:rPr>
                      <w:rFonts w:asciiTheme="minorHAnsi" w:hAnsiTheme="minorHAnsi" w:cs="Calibri"/>
                      <w:b/>
                      <w:bCs/>
                      <w:color w:val="000000"/>
                      <w:sz w:val="22"/>
                      <w:szCs w:val="22"/>
                      <w:lang w:val="es-EC" w:eastAsia="es-EC"/>
                    </w:rPr>
                    <w:t>Ingreso mixto neto</w:t>
                  </w:r>
                </w:p>
                <w:p w:rsidR="00C40CC5" w:rsidRPr="00FB3875" w:rsidRDefault="00C40CC5" w:rsidP="009D36F2">
                  <w:pPr>
                    <w:spacing w:before="120" w:after="120"/>
                    <w:rPr>
                      <w:rFonts w:asciiTheme="minorHAnsi" w:hAnsiTheme="minorHAnsi" w:cs="Calibri"/>
                      <w:b/>
                      <w:bCs/>
                      <w:color w:val="000000"/>
                      <w:szCs w:val="22"/>
                      <w:lang w:val="es-EC" w:eastAsia="es-EC"/>
                    </w:rPr>
                  </w:pPr>
                </w:p>
                <w:p w:rsidR="00C40CC5" w:rsidRPr="00FB3875" w:rsidRDefault="00C40CC5" w:rsidP="009D36F2">
                  <w:pPr>
                    <w:spacing w:before="120" w:after="120"/>
                    <w:rPr>
                      <w:rFonts w:asciiTheme="minorHAnsi" w:hAnsiTheme="minorHAnsi" w:cs="Calibri"/>
                      <w:b/>
                      <w:bCs/>
                      <w:color w:val="000000"/>
                      <w:szCs w:val="22"/>
                      <w:lang w:val="es-EC" w:eastAsia="es-EC"/>
                    </w:rPr>
                  </w:pPr>
                </w:p>
              </w:tc>
              <w:tc>
                <w:tcPr>
                  <w:tcW w:w="3557" w:type="pct"/>
                  <w:vAlign w:val="center"/>
                </w:tcPr>
                <w:p w:rsidR="00C40CC5" w:rsidRPr="00FB3875" w:rsidRDefault="00C40CC5" w:rsidP="009D36F2">
                  <w:pPr>
                    <w:spacing w:before="120" w:after="120"/>
                    <w:jc w:val="both"/>
                    <w:rPr>
                      <w:rFonts w:asciiTheme="minorHAnsi" w:hAnsiTheme="minorHAnsi"/>
                      <w:b/>
                      <w:szCs w:val="22"/>
                    </w:rPr>
                  </w:pPr>
                  <w:r w:rsidRPr="00FB3875">
                    <w:rPr>
                      <w:rFonts w:asciiTheme="minorHAnsi" w:hAnsiTheme="minorHAnsi"/>
                      <w:bCs/>
                      <w:sz w:val="22"/>
                      <w:szCs w:val="22"/>
                      <w:lang w:val="es-MX"/>
                    </w:rPr>
                    <w:t>Es la remuneración al capital en su calidad de factor de producción descontado el consumo de capital fijo, también es una denominación  alternativa  del saldo contable neto de la cuenta de generación del ingreso que se utiliza para diferentes tipos de empresas. Se utiliza solamente para el sector hogares</w:t>
                  </w:r>
                </w:p>
              </w:tc>
            </w:tr>
          </w:tbl>
          <w:p w:rsidR="00C40CC5" w:rsidRPr="00080CCB" w:rsidRDefault="00C40CC5" w:rsidP="009D36F2">
            <w:pPr>
              <w:rPr>
                <w:rFonts w:asciiTheme="minorHAnsi" w:hAnsiTheme="minorHAnsi" w:cs="Arial"/>
                <w:szCs w:val="22"/>
              </w:rPr>
            </w:pPr>
          </w:p>
        </w:tc>
      </w:tr>
    </w:tbl>
    <w:p w:rsidR="00C40CC5" w:rsidRDefault="00C40CC5"/>
    <w:tbl>
      <w:tblPr>
        <w:tblStyle w:val="Tablaconcuadrcula"/>
        <w:tblW w:w="0" w:type="auto"/>
        <w:jc w:val="center"/>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ayout w:type="fixed"/>
        <w:tblLook w:val="04A0" w:firstRow="1" w:lastRow="0" w:firstColumn="1" w:lastColumn="0" w:noHBand="0" w:noVBand="1"/>
      </w:tblPr>
      <w:tblGrid>
        <w:gridCol w:w="9054"/>
      </w:tblGrid>
      <w:tr w:rsidR="00C40CC5" w:rsidRPr="009036BF" w:rsidTr="009D36F2">
        <w:trPr>
          <w:jc w:val="center"/>
        </w:trPr>
        <w:tc>
          <w:tcPr>
            <w:tcW w:w="9054" w:type="dxa"/>
            <w:vAlign w:val="center"/>
          </w:tcPr>
          <w:p w:rsidR="00C40CC5" w:rsidRDefault="00C40CC5" w:rsidP="009D36F2">
            <w:pPr>
              <w:jc w:val="both"/>
              <w:rPr>
                <w:rFonts w:asciiTheme="minorHAnsi" w:hAnsiTheme="minorHAnsi" w:cs="Arial"/>
                <w:szCs w:val="22"/>
              </w:rPr>
            </w:pPr>
          </w:p>
          <w:p w:rsidR="000A3871" w:rsidRPr="000A3871" w:rsidRDefault="000A3871" w:rsidP="009D36F2">
            <w:pPr>
              <w:jc w:val="both"/>
              <w:rPr>
                <w:rFonts w:asciiTheme="minorHAnsi" w:hAnsiTheme="minorHAnsi" w:cs="Arial"/>
                <w:sz w:val="26"/>
                <w:szCs w:val="26"/>
              </w:rPr>
            </w:pPr>
            <w:r w:rsidRPr="000A3871">
              <w:rPr>
                <w:rFonts w:asciiTheme="minorHAnsi" w:hAnsiTheme="minorHAnsi"/>
                <w:b/>
                <w:bCs/>
                <w:color w:val="000000"/>
                <w:sz w:val="26"/>
                <w:szCs w:val="26"/>
                <w:lang w:val="es-EC" w:eastAsia="es-EC"/>
              </w:rPr>
              <w:t>Cuenta de asignación del ingreso</w:t>
            </w:r>
          </w:p>
          <w:p w:rsidR="000A3871" w:rsidRPr="009036BF" w:rsidRDefault="000A3871" w:rsidP="009D36F2">
            <w:pPr>
              <w:jc w:val="both"/>
              <w:rPr>
                <w:rFonts w:asciiTheme="minorHAnsi" w:hAnsiTheme="minorHAnsi"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693"/>
              <w:gridCol w:w="6289"/>
            </w:tblGrid>
            <w:tr w:rsidR="00C40CC5" w:rsidRPr="008E73EB" w:rsidTr="009D36F2">
              <w:trPr>
                <w:trHeight w:hRule="exact" w:val="1050"/>
                <w:tblHeader/>
              </w:trPr>
              <w:tc>
                <w:tcPr>
                  <w:tcW w:w="479" w:type="pct"/>
                  <w:shd w:val="clear" w:color="auto" w:fill="DBE5F1" w:themeFill="accent1" w:themeFillTint="33"/>
                </w:tcPr>
                <w:p w:rsidR="00C40CC5" w:rsidRPr="008E73EB" w:rsidRDefault="00C40CC5" w:rsidP="009D36F2">
                  <w:pPr>
                    <w:spacing w:before="120" w:after="120"/>
                    <w:jc w:val="center"/>
                    <w:rPr>
                      <w:rFonts w:asciiTheme="minorHAnsi" w:hAnsiTheme="minorHAnsi" w:cs="Calibri"/>
                      <w:b/>
                      <w:szCs w:val="22"/>
                      <w:lang w:val="es-EC"/>
                    </w:rPr>
                  </w:pPr>
                  <w:r w:rsidRPr="008E73EB">
                    <w:rPr>
                      <w:rFonts w:asciiTheme="minorHAnsi" w:hAnsiTheme="minorHAnsi" w:cs="Calibri"/>
                      <w:b/>
                      <w:sz w:val="22"/>
                      <w:szCs w:val="22"/>
                      <w:lang w:val="es-EC"/>
                    </w:rPr>
                    <w:t>Código SCN 2008</w:t>
                  </w:r>
                </w:p>
              </w:tc>
              <w:tc>
                <w:tcPr>
                  <w:tcW w:w="959" w:type="pct"/>
                  <w:shd w:val="clear" w:color="auto" w:fill="DBE5F1" w:themeFill="accent1" w:themeFillTint="33"/>
                </w:tcPr>
                <w:p w:rsidR="00C40CC5" w:rsidRPr="008E73EB" w:rsidRDefault="00C40CC5" w:rsidP="009D36F2">
                  <w:pPr>
                    <w:spacing w:before="120" w:after="120"/>
                    <w:jc w:val="center"/>
                    <w:rPr>
                      <w:rFonts w:asciiTheme="minorHAnsi" w:hAnsiTheme="minorHAnsi" w:cs="Calibri"/>
                      <w:b/>
                      <w:szCs w:val="22"/>
                      <w:lang w:val="es-EC"/>
                    </w:rPr>
                  </w:pPr>
                  <w:r w:rsidRPr="008E73EB">
                    <w:rPr>
                      <w:rFonts w:asciiTheme="minorHAnsi" w:hAnsiTheme="minorHAnsi" w:cs="Calibri"/>
                      <w:b/>
                      <w:sz w:val="22"/>
                      <w:szCs w:val="22"/>
                      <w:lang w:val="es-EC"/>
                    </w:rPr>
                    <w:t>Transacción</w:t>
                  </w:r>
                </w:p>
              </w:tc>
              <w:tc>
                <w:tcPr>
                  <w:tcW w:w="3562" w:type="pct"/>
                  <w:shd w:val="clear" w:color="auto" w:fill="DBE5F1" w:themeFill="accent1" w:themeFillTint="33"/>
                </w:tcPr>
                <w:p w:rsidR="00C40CC5" w:rsidRPr="008E73EB" w:rsidRDefault="00C40CC5" w:rsidP="009D36F2">
                  <w:pPr>
                    <w:spacing w:before="120" w:after="120"/>
                    <w:jc w:val="center"/>
                    <w:rPr>
                      <w:rFonts w:asciiTheme="minorHAnsi" w:hAnsiTheme="minorHAnsi" w:cs="Calibri"/>
                      <w:b/>
                      <w:szCs w:val="22"/>
                      <w:lang w:val="es-EC"/>
                    </w:rPr>
                  </w:pPr>
                  <w:r w:rsidRPr="008E73EB">
                    <w:rPr>
                      <w:rFonts w:asciiTheme="minorHAnsi" w:hAnsiTheme="minorHAnsi" w:cs="Calibri"/>
                      <w:b/>
                      <w:sz w:val="22"/>
                      <w:szCs w:val="22"/>
                      <w:lang w:val="es-EC"/>
                    </w:rPr>
                    <w:t>Descripción</w:t>
                  </w:r>
                </w:p>
              </w:tc>
            </w:tr>
            <w:tr w:rsidR="00C40CC5" w:rsidRPr="008E73EB" w:rsidTr="009D36F2">
              <w:trPr>
                <w:trHeight w:val="1000"/>
              </w:trPr>
              <w:tc>
                <w:tcPr>
                  <w:tcW w:w="479" w:type="pct"/>
                </w:tcPr>
                <w:p w:rsidR="00C40CC5" w:rsidRPr="008E73EB" w:rsidRDefault="00C40CC5" w:rsidP="009D36F2">
                  <w:pPr>
                    <w:spacing w:before="120" w:after="120"/>
                    <w:rPr>
                      <w:rFonts w:asciiTheme="minorHAnsi" w:hAnsiTheme="minorHAnsi" w:cs="Calibri"/>
                      <w:b/>
                      <w:szCs w:val="22"/>
                      <w:lang w:val="es-EC"/>
                    </w:rPr>
                  </w:pPr>
                  <w:r w:rsidRPr="008E73EB">
                    <w:rPr>
                      <w:rFonts w:asciiTheme="minorHAnsi" w:hAnsiTheme="minorHAnsi" w:cs="Calibri"/>
                      <w:b/>
                      <w:sz w:val="22"/>
                      <w:szCs w:val="22"/>
                      <w:lang w:val="es-EC"/>
                    </w:rPr>
                    <w:t>B.2b</w:t>
                  </w:r>
                </w:p>
              </w:tc>
              <w:tc>
                <w:tcPr>
                  <w:tcW w:w="959" w:type="pct"/>
                </w:tcPr>
                <w:p w:rsidR="00C40CC5" w:rsidRPr="008E73EB" w:rsidRDefault="00C40CC5" w:rsidP="009D36F2">
                  <w:pPr>
                    <w:spacing w:before="120" w:after="120"/>
                    <w:rPr>
                      <w:rFonts w:asciiTheme="minorHAnsi" w:hAnsiTheme="minorHAnsi"/>
                      <w:b/>
                      <w:szCs w:val="22"/>
                    </w:rPr>
                  </w:pPr>
                  <w:r w:rsidRPr="008E73EB">
                    <w:rPr>
                      <w:rFonts w:asciiTheme="minorHAnsi" w:hAnsiTheme="minorHAnsi" w:cs="Calibri"/>
                      <w:b/>
                      <w:bCs/>
                      <w:color w:val="000000"/>
                      <w:sz w:val="22"/>
                      <w:szCs w:val="22"/>
                      <w:lang w:val="es-EC" w:eastAsia="es-EC"/>
                    </w:rPr>
                    <w:t>Excedente de explotación bruto</w:t>
                  </w:r>
                </w:p>
              </w:tc>
              <w:tc>
                <w:tcPr>
                  <w:tcW w:w="3562" w:type="pct"/>
                </w:tcPr>
                <w:p w:rsidR="00C40CC5" w:rsidRPr="008E73EB" w:rsidRDefault="00C40CC5" w:rsidP="009D36F2">
                  <w:pPr>
                    <w:spacing w:before="120" w:after="120"/>
                    <w:jc w:val="both"/>
                    <w:rPr>
                      <w:rFonts w:asciiTheme="minorHAnsi" w:hAnsiTheme="minorHAnsi"/>
                      <w:b/>
                      <w:szCs w:val="22"/>
                    </w:rPr>
                  </w:pPr>
                  <w:r w:rsidRPr="008E73EB">
                    <w:rPr>
                      <w:rFonts w:asciiTheme="minorHAnsi" w:hAnsiTheme="minorHAnsi"/>
                      <w:bCs/>
                      <w:sz w:val="22"/>
                      <w:szCs w:val="22"/>
                      <w:lang w:val="es-MX"/>
                    </w:rPr>
                    <w:t>Es la remuneración al capital en su calidad de factor de producción, también es una denominación  alternativa  del saldo contable de la cuenta de generación del ingreso que se utiliza para diferentes tipos de empresas a excepción de los hogares</w:t>
                  </w:r>
                </w:p>
              </w:tc>
            </w:tr>
            <w:tr w:rsidR="00C40CC5" w:rsidRPr="008E73EB" w:rsidTr="009D36F2">
              <w:trPr>
                <w:trHeight w:val="156"/>
              </w:trPr>
              <w:tc>
                <w:tcPr>
                  <w:tcW w:w="479" w:type="pct"/>
                </w:tcPr>
                <w:p w:rsidR="00C40CC5" w:rsidRPr="008E73EB" w:rsidRDefault="00C40CC5" w:rsidP="009D36F2">
                  <w:pPr>
                    <w:spacing w:before="120" w:after="120"/>
                    <w:rPr>
                      <w:rFonts w:asciiTheme="minorHAnsi" w:hAnsiTheme="minorHAnsi" w:cs="Calibri"/>
                      <w:b/>
                      <w:szCs w:val="22"/>
                      <w:lang w:val="es-EC"/>
                    </w:rPr>
                  </w:pPr>
                  <w:r w:rsidRPr="008E73EB">
                    <w:rPr>
                      <w:rFonts w:asciiTheme="minorHAnsi" w:hAnsiTheme="minorHAnsi" w:cs="Calibri"/>
                      <w:b/>
                      <w:sz w:val="22"/>
                      <w:szCs w:val="22"/>
                      <w:lang w:val="es-EC"/>
                    </w:rPr>
                    <w:t>B.3b</w:t>
                  </w:r>
                </w:p>
              </w:tc>
              <w:tc>
                <w:tcPr>
                  <w:tcW w:w="959" w:type="pct"/>
                </w:tcPr>
                <w:p w:rsidR="00C40CC5" w:rsidRPr="008E73EB" w:rsidRDefault="00C40CC5" w:rsidP="009D36F2">
                  <w:pPr>
                    <w:spacing w:before="120" w:after="120"/>
                    <w:rPr>
                      <w:rFonts w:asciiTheme="minorHAnsi" w:hAnsiTheme="minorHAnsi" w:cs="Calibri"/>
                      <w:b/>
                      <w:bCs/>
                      <w:color w:val="000000"/>
                      <w:szCs w:val="22"/>
                      <w:lang w:val="es-EC" w:eastAsia="es-EC"/>
                    </w:rPr>
                  </w:pPr>
                  <w:r w:rsidRPr="008E73EB">
                    <w:rPr>
                      <w:rFonts w:asciiTheme="minorHAnsi" w:hAnsiTheme="minorHAnsi" w:cs="Calibri"/>
                      <w:b/>
                      <w:bCs/>
                      <w:color w:val="000000"/>
                      <w:sz w:val="22"/>
                      <w:szCs w:val="22"/>
                      <w:lang w:val="es-EC" w:eastAsia="es-EC"/>
                    </w:rPr>
                    <w:t>Ingreso mixto bruto</w:t>
                  </w:r>
                </w:p>
              </w:tc>
              <w:tc>
                <w:tcPr>
                  <w:tcW w:w="3562" w:type="pct"/>
                </w:tcPr>
                <w:p w:rsidR="00C40CC5" w:rsidRPr="008E73EB" w:rsidRDefault="00C40CC5" w:rsidP="009D36F2">
                  <w:pPr>
                    <w:spacing w:before="120" w:after="120"/>
                    <w:jc w:val="both"/>
                    <w:rPr>
                      <w:rFonts w:asciiTheme="minorHAnsi" w:hAnsiTheme="minorHAnsi"/>
                      <w:b/>
                      <w:szCs w:val="22"/>
                    </w:rPr>
                  </w:pPr>
                  <w:r w:rsidRPr="008E73EB">
                    <w:rPr>
                      <w:rFonts w:asciiTheme="minorHAnsi" w:hAnsiTheme="minorHAnsi"/>
                      <w:bCs/>
                      <w:sz w:val="22"/>
                      <w:szCs w:val="22"/>
                      <w:lang w:val="es-MX"/>
                    </w:rPr>
                    <w:t>Es la remuneración al capital en su calidad de factor de producción, también es una denominación  alternativa  del saldo contable de la cuenta de generación del ingreso que se utiliza para diferentes tipos de empresas. Se utiliza solamente para el sector hogares</w:t>
                  </w:r>
                </w:p>
              </w:tc>
            </w:tr>
            <w:tr w:rsidR="00C40CC5" w:rsidRPr="008E73EB" w:rsidTr="009D36F2">
              <w:trPr>
                <w:trHeight w:val="156"/>
              </w:trPr>
              <w:tc>
                <w:tcPr>
                  <w:tcW w:w="479" w:type="pct"/>
                </w:tcPr>
                <w:p w:rsidR="00C40CC5" w:rsidRPr="008E73EB" w:rsidRDefault="00C40CC5" w:rsidP="009D36F2">
                  <w:pPr>
                    <w:spacing w:before="120" w:after="120"/>
                    <w:rPr>
                      <w:rFonts w:asciiTheme="minorHAnsi" w:hAnsiTheme="minorHAnsi" w:cs="Calibri"/>
                      <w:b/>
                      <w:szCs w:val="22"/>
                      <w:lang w:val="es-EC"/>
                    </w:rPr>
                  </w:pPr>
                  <w:r w:rsidRPr="008E73EB">
                    <w:rPr>
                      <w:rFonts w:asciiTheme="minorHAnsi" w:hAnsiTheme="minorHAnsi" w:cs="Calibri"/>
                      <w:b/>
                      <w:sz w:val="22"/>
                      <w:szCs w:val="22"/>
                      <w:lang w:val="es-EC"/>
                    </w:rPr>
                    <w:t>B.2n</w:t>
                  </w:r>
                </w:p>
              </w:tc>
              <w:tc>
                <w:tcPr>
                  <w:tcW w:w="959" w:type="pct"/>
                </w:tcPr>
                <w:p w:rsidR="00C40CC5" w:rsidRPr="008E73EB" w:rsidRDefault="00C40CC5" w:rsidP="009D36F2">
                  <w:pPr>
                    <w:spacing w:before="120" w:after="120"/>
                    <w:rPr>
                      <w:rFonts w:asciiTheme="minorHAnsi" w:hAnsiTheme="minorHAnsi" w:cs="Calibri"/>
                      <w:b/>
                      <w:bCs/>
                      <w:color w:val="000000"/>
                      <w:szCs w:val="22"/>
                      <w:lang w:val="es-EC" w:eastAsia="es-EC"/>
                    </w:rPr>
                  </w:pPr>
                  <w:r w:rsidRPr="008E73EB">
                    <w:rPr>
                      <w:rFonts w:asciiTheme="minorHAnsi" w:hAnsiTheme="minorHAnsi" w:cs="Calibri"/>
                      <w:b/>
                      <w:bCs/>
                      <w:color w:val="000000"/>
                      <w:sz w:val="22"/>
                      <w:szCs w:val="22"/>
                      <w:lang w:val="es-EC" w:eastAsia="es-EC"/>
                    </w:rPr>
                    <w:t>Excedente de explotación neto</w:t>
                  </w:r>
                </w:p>
              </w:tc>
              <w:tc>
                <w:tcPr>
                  <w:tcW w:w="3562" w:type="pct"/>
                </w:tcPr>
                <w:p w:rsidR="00C40CC5" w:rsidRPr="008E73EB" w:rsidRDefault="00C40CC5" w:rsidP="009D36F2">
                  <w:pPr>
                    <w:spacing w:before="120" w:after="120"/>
                    <w:jc w:val="both"/>
                    <w:rPr>
                      <w:rFonts w:asciiTheme="minorHAnsi" w:hAnsiTheme="minorHAnsi"/>
                      <w:b/>
                      <w:szCs w:val="22"/>
                    </w:rPr>
                  </w:pPr>
                  <w:r w:rsidRPr="008E73EB">
                    <w:rPr>
                      <w:rFonts w:asciiTheme="minorHAnsi" w:hAnsiTheme="minorHAnsi"/>
                      <w:bCs/>
                      <w:sz w:val="22"/>
                      <w:szCs w:val="22"/>
                      <w:lang w:val="es-MX"/>
                    </w:rPr>
                    <w:t>Es la remuneración al capital en su calidad de factor de producción descontado el consumo de capital fijo, también es una denominación  alternativa  del saldo contable neto de la cuenta de generación del ingreso que se utiliza para diferentes tipos de empresas a excepción de los hogares.</w:t>
                  </w:r>
                </w:p>
              </w:tc>
            </w:tr>
            <w:tr w:rsidR="00C40CC5" w:rsidRPr="008E73EB" w:rsidTr="009D36F2">
              <w:trPr>
                <w:trHeight w:val="156"/>
              </w:trPr>
              <w:tc>
                <w:tcPr>
                  <w:tcW w:w="479" w:type="pct"/>
                </w:tcPr>
                <w:p w:rsidR="00C40CC5" w:rsidRPr="008E73EB" w:rsidRDefault="00C40CC5" w:rsidP="009D36F2">
                  <w:pPr>
                    <w:spacing w:before="120" w:after="120"/>
                    <w:rPr>
                      <w:rFonts w:asciiTheme="minorHAnsi" w:hAnsiTheme="minorHAnsi" w:cs="Calibri"/>
                      <w:b/>
                      <w:szCs w:val="22"/>
                      <w:lang w:val="es-EC"/>
                    </w:rPr>
                  </w:pPr>
                  <w:r w:rsidRPr="008E73EB">
                    <w:rPr>
                      <w:rFonts w:asciiTheme="minorHAnsi" w:hAnsiTheme="minorHAnsi" w:cs="Calibri"/>
                      <w:b/>
                      <w:sz w:val="22"/>
                      <w:szCs w:val="22"/>
                      <w:lang w:val="es-EC"/>
                    </w:rPr>
                    <w:t>B.3n</w:t>
                  </w:r>
                </w:p>
              </w:tc>
              <w:tc>
                <w:tcPr>
                  <w:tcW w:w="959" w:type="pct"/>
                </w:tcPr>
                <w:p w:rsidR="00C40CC5" w:rsidRPr="008E73EB" w:rsidRDefault="00C40CC5" w:rsidP="009D36F2">
                  <w:pPr>
                    <w:spacing w:before="120" w:after="120"/>
                    <w:rPr>
                      <w:rFonts w:asciiTheme="minorHAnsi" w:hAnsiTheme="minorHAnsi" w:cs="Calibri"/>
                      <w:b/>
                      <w:bCs/>
                      <w:color w:val="000000"/>
                      <w:szCs w:val="22"/>
                      <w:lang w:val="es-EC" w:eastAsia="es-EC"/>
                    </w:rPr>
                  </w:pPr>
                  <w:r w:rsidRPr="008E73EB">
                    <w:rPr>
                      <w:rFonts w:asciiTheme="minorHAnsi" w:hAnsiTheme="minorHAnsi" w:cs="Calibri"/>
                      <w:b/>
                      <w:bCs/>
                      <w:color w:val="000000"/>
                      <w:sz w:val="22"/>
                      <w:szCs w:val="22"/>
                      <w:lang w:val="es-EC" w:eastAsia="es-EC"/>
                    </w:rPr>
                    <w:t>Ingreso mixto neto</w:t>
                  </w:r>
                </w:p>
                <w:p w:rsidR="00C40CC5" w:rsidRPr="008E73EB" w:rsidRDefault="00C40CC5" w:rsidP="009D36F2">
                  <w:pPr>
                    <w:spacing w:before="120" w:after="120"/>
                    <w:rPr>
                      <w:rFonts w:asciiTheme="minorHAnsi" w:hAnsiTheme="minorHAnsi" w:cs="Calibri"/>
                      <w:b/>
                      <w:bCs/>
                      <w:color w:val="000000"/>
                      <w:szCs w:val="22"/>
                      <w:lang w:val="es-EC" w:eastAsia="es-EC"/>
                    </w:rPr>
                  </w:pPr>
                </w:p>
                <w:p w:rsidR="00C40CC5" w:rsidRPr="008E73EB" w:rsidRDefault="00C40CC5" w:rsidP="009D36F2">
                  <w:pPr>
                    <w:spacing w:before="120" w:after="120"/>
                    <w:rPr>
                      <w:rFonts w:asciiTheme="minorHAnsi" w:hAnsiTheme="minorHAnsi" w:cs="Calibri"/>
                      <w:b/>
                      <w:bCs/>
                      <w:color w:val="000000"/>
                      <w:szCs w:val="22"/>
                      <w:lang w:val="es-EC" w:eastAsia="es-EC"/>
                    </w:rPr>
                  </w:pPr>
                </w:p>
              </w:tc>
              <w:tc>
                <w:tcPr>
                  <w:tcW w:w="3562" w:type="pct"/>
                </w:tcPr>
                <w:p w:rsidR="00C40CC5" w:rsidRPr="008E73EB" w:rsidRDefault="00C40CC5" w:rsidP="009D36F2">
                  <w:pPr>
                    <w:spacing w:before="120" w:after="120"/>
                    <w:jc w:val="both"/>
                    <w:rPr>
                      <w:rFonts w:asciiTheme="minorHAnsi" w:hAnsiTheme="minorHAnsi"/>
                      <w:b/>
                      <w:szCs w:val="22"/>
                    </w:rPr>
                  </w:pPr>
                  <w:r w:rsidRPr="008E73EB">
                    <w:rPr>
                      <w:rFonts w:asciiTheme="minorHAnsi" w:hAnsiTheme="minorHAnsi"/>
                      <w:bCs/>
                      <w:sz w:val="22"/>
                      <w:szCs w:val="22"/>
                      <w:lang w:val="es-MX"/>
                    </w:rPr>
                    <w:t>Es la remuneración al capital en su calidad de factor de producción descontado el consumo de capital fijo, también es una denominación  alternativa  del saldo contable neto de la cuenta de generación del ingreso que se utiliza para diferentes tipos de empresas. Se utiliza solamente para el sector hogares</w:t>
                  </w:r>
                </w:p>
              </w:tc>
            </w:tr>
            <w:tr w:rsidR="00C40CC5" w:rsidRPr="008E73EB" w:rsidTr="009D36F2">
              <w:trPr>
                <w:trHeight w:val="156"/>
              </w:trPr>
              <w:tc>
                <w:tcPr>
                  <w:tcW w:w="479" w:type="pct"/>
                </w:tcPr>
                <w:p w:rsidR="00C40CC5" w:rsidRPr="008E73EB" w:rsidRDefault="00C40CC5" w:rsidP="009D36F2">
                  <w:pPr>
                    <w:spacing w:before="120" w:after="120" w:line="256" w:lineRule="auto"/>
                    <w:rPr>
                      <w:rFonts w:asciiTheme="minorHAnsi" w:hAnsiTheme="minorHAnsi" w:cs="Calibri"/>
                      <w:b/>
                      <w:szCs w:val="22"/>
                      <w:lang w:val="es-EC"/>
                    </w:rPr>
                  </w:pPr>
                  <w:r w:rsidRPr="008E73EB">
                    <w:rPr>
                      <w:rFonts w:asciiTheme="minorHAnsi" w:hAnsiTheme="minorHAnsi" w:cs="Calibri"/>
                      <w:b/>
                      <w:sz w:val="22"/>
                      <w:szCs w:val="22"/>
                      <w:lang w:val="es-EC"/>
                    </w:rPr>
                    <w:t>D.1</w:t>
                  </w:r>
                </w:p>
              </w:tc>
              <w:tc>
                <w:tcPr>
                  <w:tcW w:w="959" w:type="pct"/>
                </w:tcPr>
                <w:p w:rsidR="00C40CC5" w:rsidRPr="008E73EB" w:rsidRDefault="00C40CC5" w:rsidP="009D36F2">
                  <w:pPr>
                    <w:spacing w:before="120" w:after="120" w:line="256" w:lineRule="auto"/>
                    <w:rPr>
                      <w:rFonts w:asciiTheme="minorHAnsi" w:hAnsiTheme="minorHAnsi" w:cs="Calibri"/>
                      <w:b/>
                      <w:color w:val="FF0000"/>
                      <w:szCs w:val="22"/>
                      <w:lang w:val="es-EC"/>
                    </w:rPr>
                  </w:pPr>
                  <w:r w:rsidRPr="008E73EB">
                    <w:rPr>
                      <w:rFonts w:asciiTheme="minorHAnsi" w:hAnsiTheme="minorHAnsi" w:cs="Calibri"/>
                      <w:b/>
                      <w:sz w:val="22"/>
                      <w:szCs w:val="22"/>
                      <w:lang w:val="es-EC"/>
                    </w:rPr>
                    <w:t>La remuneración de los empleados</w:t>
                  </w:r>
                </w:p>
              </w:tc>
              <w:tc>
                <w:tcPr>
                  <w:tcW w:w="3562" w:type="pct"/>
                </w:tcPr>
                <w:p w:rsidR="00C40CC5" w:rsidRPr="008E73EB" w:rsidRDefault="00C40CC5" w:rsidP="009D36F2">
                  <w:pPr>
                    <w:spacing w:before="120" w:after="120" w:line="256" w:lineRule="auto"/>
                    <w:jc w:val="both"/>
                    <w:rPr>
                      <w:rFonts w:asciiTheme="minorHAnsi" w:hAnsiTheme="minorHAnsi" w:cs="Calibri"/>
                      <w:szCs w:val="22"/>
                      <w:lang w:val="es-EC"/>
                    </w:rPr>
                  </w:pPr>
                  <w:r w:rsidRPr="008E73EB">
                    <w:rPr>
                      <w:rFonts w:asciiTheme="minorHAnsi" w:hAnsiTheme="minorHAnsi" w:cs="Calibri"/>
                      <w:sz w:val="22"/>
                      <w:szCs w:val="22"/>
                      <w:lang w:val="es-EC"/>
                    </w:rPr>
                    <w:t xml:space="preserve">La remuneración de los asalariados se define como la remuneración total, en dinero o en especie, a pagar por una empresa a un asalariado en contraprestación del trabajo realizado por éste durante el periodo contable. </w:t>
                  </w:r>
                </w:p>
              </w:tc>
            </w:tr>
            <w:tr w:rsidR="00C40CC5" w:rsidRPr="008E73EB" w:rsidTr="009D36F2">
              <w:trPr>
                <w:trHeight w:val="156"/>
              </w:trPr>
              <w:tc>
                <w:tcPr>
                  <w:tcW w:w="479" w:type="pct"/>
                </w:tcPr>
                <w:p w:rsidR="00C40CC5" w:rsidRPr="008E73EB" w:rsidRDefault="00C40CC5" w:rsidP="009D36F2">
                  <w:pPr>
                    <w:spacing w:before="120" w:after="120"/>
                    <w:rPr>
                      <w:rFonts w:asciiTheme="minorHAnsi" w:hAnsiTheme="minorHAnsi" w:cs="Calibri"/>
                      <w:b/>
                      <w:szCs w:val="22"/>
                      <w:lang w:val="es-EC"/>
                    </w:rPr>
                  </w:pPr>
                  <w:r w:rsidRPr="008E73EB">
                    <w:rPr>
                      <w:rFonts w:asciiTheme="minorHAnsi" w:hAnsiTheme="minorHAnsi" w:cs="Calibri"/>
                      <w:b/>
                      <w:sz w:val="22"/>
                      <w:szCs w:val="22"/>
                      <w:lang w:val="es-EC"/>
                    </w:rPr>
                    <w:t>D.2</w:t>
                  </w:r>
                </w:p>
              </w:tc>
              <w:tc>
                <w:tcPr>
                  <w:tcW w:w="959" w:type="pct"/>
                </w:tcPr>
                <w:p w:rsidR="00C40CC5" w:rsidRPr="008E73EB" w:rsidRDefault="00C40CC5" w:rsidP="009D36F2">
                  <w:pPr>
                    <w:spacing w:before="120" w:after="120"/>
                    <w:rPr>
                      <w:rFonts w:asciiTheme="minorHAnsi" w:hAnsiTheme="minorHAnsi"/>
                      <w:b/>
                      <w:szCs w:val="22"/>
                    </w:rPr>
                  </w:pPr>
                  <w:r w:rsidRPr="008E73EB">
                    <w:rPr>
                      <w:rFonts w:asciiTheme="minorHAnsi" w:hAnsiTheme="minorHAnsi"/>
                      <w:b/>
                      <w:sz w:val="22"/>
                      <w:szCs w:val="22"/>
                    </w:rPr>
                    <w:t>Otros impuestos sobre la producción</w:t>
                  </w:r>
                </w:p>
              </w:tc>
              <w:tc>
                <w:tcPr>
                  <w:tcW w:w="3562" w:type="pct"/>
                </w:tcPr>
                <w:p w:rsidR="00C40CC5" w:rsidRPr="008E73EB" w:rsidRDefault="00C40CC5" w:rsidP="009D36F2">
                  <w:pPr>
                    <w:autoSpaceDE w:val="0"/>
                    <w:autoSpaceDN w:val="0"/>
                    <w:adjustRightInd w:val="0"/>
                    <w:spacing w:before="120" w:after="120"/>
                    <w:jc w:val="both"/>
                    <w:rPr>
                      <w:rFonts w:asciiTheme="minorHAnsi" w:hAnsiTheme="minorHAnsi" w:cs="Calibri"/>
                      <w:szCs w:val="22"/>
                      <w:lang w:val="es-EC"/>
                    </w:rPr>
                  </w:pPr>
                  <w:r w:rsidRPr="008E73EB">
                    <w:rPr>
                      <w:rFonts w:asciiTheme="minorHAnsi" w:hAnsiTheme="minorHAnsi" w:cs="Calibri"/>
                      <w:sz w:val="22"/>
                      <w:szCs w:val="22"/>
                      <w:lang w:val="es-EC"/>
                    </w:rPr>
                    <w:t>Los impuestos son pagos obligatorios sin contrapartida, en dinero o en especie, que las unidades institucionales hacen a las unidades gubernamentales.</w:t>
                  </w:r>
                </w:p>
                <w:p w:rsidR="00C40CC5" w:rsidRPr="004F2EFC" w:rsidRDefault="00C40CC5" w:rsidP="009D36F2">
                  <w:pPr>
                    <w:autoSpaceDE w:val="0"/>
                    <w:autoSpaceDN w:val="0"/>
                    <w:adjustRightInd w:val="0"/>
                    <w:spacing w:before="120" w:after="120"/>
                    <w:jc w:val="both"/>
                    <w:rPr>
                      <w:rFonts w:asciiTheme="minorHAnsi" w:hAnsiTheme="minorHAnsi" w:cs="Calibri"/>
                      <w:szCs w:val="22"/>
                      <w:lang w:val="es-EC"/>
                    </w:rPr>
                  </w:pPr>
                  <w:r w:rsidRPr="008E73EB">
                    <w:rPr>
                      <w:rFonts w:asciiTheme="minorHAnsi" w:hAnsiTheme="minorHAnsi" w:cs="Calibri"/>
                      <w:sz w:val="22"/>
                      <w:szCs w:val="22"/>
                      <w:lang w:val="es-EC"/>
                    </w:rPr>
                    <w:t>Se dice que son sin contrapartida porque el gobierno no ofrece nada a cambio a la unidad individual que hace el pago, aunque los gobiernos pueden utilizar los fondos recaudados mediante impuestos para proporcionar bienes o servicios a otras unidades, ya</w:t>
                  </w:r>
                  <w:r>
                    <w:rPr>
                      <w:rFonts w:asciiTheme="minorHAnsi" w:hAnsiTheme="minorHAnsi" w:cs="Calibri"/>
                      <w:szCs w:val="22"/>
                      <w:lang w:val="es-EC"/>
                    </w:rPr>
                    <w:t xml:space="preserve"> </w:t>
                  </w:r>
                  <w:r w:rsidRPr="008E73EB">
                    <w:rPr>
                      <w:rFonts w:asciiTheme="minorHAnsi" w:hAnsiTheme="minorHAnsi" w:cs="Calibri"/>
                      <w:sz w:val="22"/>
                      <w:szCs w:val="22"/>
                      <w:lang w:val="es-EC"/>
                    </w:rPr>
                    <w:t>sea individual o colectivamente, o a la comunidad en su conjunto.</w:t>
                  </w:r>
                </w:p>
              </w:tc>
            </w:tr>
            <w:tr w:rsidR="00C40CC5" w:rsidRPr="008E73EB" w:rsidTr="009D36F2">
              <w:trPr>
                <w:trHeight w:val="156"/>
              </w:trPr>
              <w:tc>
                <w:tcPr>
                  <w:tcW w:w="479" w:type="pct"/>
                </w:tcPr>
                <w:p w:rsidR="00C40CC5" w:rsidRPr="008E73EB" w:rsidRDefault="00C40CC5" w:rsidP="009D36F2">
                  <w:pPr>
                    <w:spacing w:before="120" w:after="120"/>
                    <w:rPr>
                      <w:rFonts w:asciiTheme="minorHAnsi" w:hAnsiTheme="minorHAnsi" w:cs="Calibri"/>
                      <w:b/>
                      <w:szCs w:val="22"/>
                      <w:lang w:val="es-EC"/>
                    </w:rPr>
                  </w:pPr>
                  <w:r w:rsidRPr="008E73EB">
                    <w:rPr>
                      <w:rFonts w:asciiTheme="minorHAnsi" w:hAnsiTheme="minorHAnsi" w:cs="Calibri"/>
                      <w:b/>
                      <w:sz w:val="22"/>
                      <w:szCs w:val="22"/>
                      <w:lang w:val="es-EC"/>
                    </w:rPr>
                    <w:t>D.3</w:t>
                  </w:r>
                </w:p>
              </w:tc>
              <w:tc>
                <w:tcPr>
                  <w:tcW w:w="959" w:type="pct"/>
                </w:tcPr>
                <w:p w:rsidR="00C40CC5" w:rsidRPr="008E73EB" w:rsidRDefault="00C40CC5" w:rsidP="009D36F2">
                  <w:pPr>
                    <w:spacing w:before="120" w:after="120"/>
                    <w:rPr>
                      <w:rFonts w:asciiTheme="minorHAnsi" w:hAnsiTheme="minorHAnsi"/>
                      <w:b/>
                      <w:szCs w:val="22"/>
                    </w:rPr>
                  </w:pPr>
                  <w:r w:rsidRPr="008E73EB">
                    <w:rPr>
                      <w:rFonts w:asciiTheme="minorHAnsi" w:hAnsiTheme="minorHAnsi"/>
                      <w:b/>
                      <w:sz w:val="22"/>
                      <w:szCs w:val="22"/>
                    </w:rPr>
                    <w:t xml:space="preserve">Otras subvenciones a </w:t>
                  </w:r>
                  <w:r w:rsidRPr="008E73EB">
                    <w:rPr>
                      <w:rFonts w:asciiTheme="minorHAnsi" w:hAnsiTheme="minorHAnsi"/>
                      <w:b/>
                      <w:sz w:val="22"/>
                      <w:szCs w:val="22"/>
                    </w:rPr>
                    <w:lastRenderedPageBreak/>
                    <w:t>la producción</w:t>
                  </w:r>
                </w:p>
              </w:tc>
              <w:tc>
                <w:tcPr>
                  <w:tcW w:w="3562" w:type="pct"/>
                </w:tcPr>
                <w:p w:rsidR="00C40CC5" w:rsidRPr="008E73EB" w:rsidRDefault="00C40CC5" w:rsidP="009D36F2">
                  <w:pPr>
                    <w:spacing w:before="120" w:after="120"/>
                    <w:jc w:val="both"/>
                    <w:rPr>
                      <w:rFonts w:asciiTheme="minorHAnsi" w:hAnsiTheme="minorHAnsi"/>
                      <w:szCs w:val="22"/>
                    </w:rPr>
                  </w:pPr>
                  <w:r w:rsidRPr="008E73EB">
                    <w:rPr>
                      <w:rFonts w:asciiTheme="minorHAnsi" w:hAnsiTheme="minorHAnsi"/>
                      <w:sz w:val="22"/>
                      <w:szCs w:val="22"/>
                    </w:rPr>
                    <w:lastRenderedPageBreak/>
                    <w:t xml:space="preserve">Comprenden   las    subvenciones,   excepto    las subvenciones a los productos, que las empresas residentes pueden recibir como </w:t>
                  </w:r>
                  <w:r w:rsidRPr="008E73EB">
                    <w:rPr>
                      <w:rFonts w:asciiTheme="minorHAnsi" w:hAnsiTheme="minorHAnsi"/>
                      <w:sz w:val="22"/>
                      <w:szCs w:val="22"/>
                    </w:rPr>
                    <w:lastRenderedPageBreak/>
                    <w:t>consecuencia de su participación en  la  producción</w:t>
                  </w:r>
                </w:p>
              </w:tc>
            </w:tr>
            <w:tr w:rsidR="00C40CC5" w:rsidRPr="008E73EB" w:rsidTr="009D36F2">
              <w:trPr>
                <w:trHeight w:val="156"/>
              </w:trPr>
              <w:tc>
                <w:tcPr>
                  <w:tcW w:w="479" w:type="pct"/>
                </w:tcPr>
                <w:p w:rsidR="00C40CC5" w:rsidRPr="008E73EB" w:rsidRDefault="00C40CC5" w:rsidP="009D36F2">
                  <w:pPr>
                    <w:spacing w:before="120" w:after="120"/>
                    <w:rPr>
                      <w:rFonts w:asciiTheme="minorHAnsi" w:hAnsiTheme="minorHAnsi" w:cs="Calibri"/>
                      <w:b/>
                      <w:szCs w:val="22"/>
                      <w:lang w:val="es-EC"/>
                    </w:rPr>
                  </w:pPr>
                  <w:r w:rsidRPr="008E73EB">
                    <w:rPr>
                      <w:rFonts w:asciiTheme="minorHAnsi" w:hAnsiTheme="minorHAnsi" w:cs="Calibri"/>
                      <w:b/>
                      <w:sz w:val="22"/>
                      <w:szCs w:val="22"/>
                      <w:lang w:val="es-EC"/>
                    </w:rPr>
                    <w:lastRenderedPageBreak/>
                    <w:t>D.4</w:t>
                  </w:r>
                </w:p>
              </w:tc>
              <w:tc>
                <w:tcPr>
                  <w:tcW w:w="959" w:type="pct"/>
                </w:tcPr>
                <w:p w:rsidR="00C40CC5" w:rsidRPr="008E73EB" w:rsidRDefault="00C40CC5" w:rsidP="009D36F2">
                  <w:pPr>
                    <w:spacing w:before="120" w:after="120"/>
                    <w:rPr>
                      <w:rFonts w:asciiTheme="minorHAnsi" w:hAnsiTheme="minorHAnsi" w:cs="Calibri"/>
                      <w:b/>
                      <w:szCs w:val="22"/>
                      <w:lang w:val="es-EC"/>
                    </w:rPr>
                  </w:pPr>
                  <w:r w:rsidRPr="008E73EB">
                    <w:rPr>
                      <w:rFonts w:asciiTheme="minorHAnsi" w:hAnsiTheme="minorHAnsi" w:cs="Calibri"/>
                      <w:b/>
                      <w:sz w:val="22"/>
                      <w:szCs w:val="22"/>
                      <w:lang w:val="es-EC"/>
                    </w:rPr>
                    <w:t>Renta de la propiedad</w:t>
                  </w:r>
                </w:p>
              </w:tc>
              <w:tc>
                <w:tcPr>
                  <w:tcW w:w="3562" w:type="pct"/>
                </w:tcPr>
                <w:p w:rsidR="00C40CC5" w:rsidRPr="008E73EB" w:rsidRDefault="00C40CC5" w:rsidP="009D36F2">
                  <w:pPr>
                    <w:spacing w:before="120" w:after="120"/>
                    <w:jc w:val="both"/>
                    <w:rPr>
                      <w:rFonts w:asciiTheme="minorHAnsi" w:hAnsiTheme="minorHAnsi"/>
                      <w:b/>
                      <w:szCs w:val="22"/>
                    </w:rPr>
                  </w:pPr>
                  <w:r w:rsidRPr="008E73EB">
                    <w:rPr>
                      <w:rFonts w:asciiTheme="minorHAnsi" w:hAnsiTheme="minorHAnsi"/>
                      <w:sz w:val="22"/>
                      <w:szCs w:val="22"/>
                    </w:rPr>
                    <w:t>La renta de la  propiedad se genera cuando los propietarios de los activos financieros y  recursos naturales los ponen a disposición de otras unidades institucionales. Las rentas a pagar por la utilización de los activos financieros se denominan  rentas de la inversión en tanto que el pago por el uso de un recurso natural de llama renta de los recursos naturales.  La renta de la  propiedad es la suma de las rentas de la inversión  y  las rentas de los recursos naturales.</w:t>
                  </w:r>
                </w:p>
              </w:tc>
            </w:tr>
            <w:tr w:rsidR="00C40CC5" w:rsidRPr="008E73EB" w:rsidTr="009D36F2">
              <w:trPr>
                <w:trHeight w:val="156"/>
              </w:trPr>
              <w:tc>
                <w:tcPr>
                  <w:tcW w:w="479" w:type="pct"/>
                </w:tcPr>
                <w:p w:rsidR="00C40CC5" w:rsidRPr="008E73EB" w:rsidRDefault="00C40CC5" w:rsidP="009D36F2">
                  <w:pPr>
                    <w:spacing w:before="120" w:after="120"/>
                    <w:rPr>
                      <w:rFonts w:asciiTheme="minorHAnsi" w:hAnsiTheme="minorHAnsi"/>
                      <w:szCs w:val="22"/>
                    </w:rPr>
                  </w:pPr>
                  <w:r w:rsidRPr="008E73EB">
                    <w:rPr>
                      <w:rFonts w:asciiTheme="minorHAnsi" w:eastAsiaTheme="minorHAnsi" w:hAnsiTheme="minorHAnsi" w:cs="Arial"/>
                      <w:b/>
                      <w:bCs/>
                      <w:color w:val="000000"/>
                      <w:sz w:val="22"/>
                      <w:szCs w:val="22"/>
                      <w:lang w:val="es-EC"/>
                    </w:rPr>
                    <w:t>D.41</w:t>
                  </w:r>
                </w:p>
              </w:tc>
              <w:tc>
                <w:tcPr>
                  <w:tcW w:w="959" w:type="pct"/>
                </w:tcPr>
                <w:p w:rsidR="00C40CC5" w:rsidRPr="008E73EB" w:rsidRDefault="00C40CC5" w:rsidP="009D36F2">
                  <w:pPr>
                    <w:spacing w:before="120" w:after="120"/>
                    <w:rPr>
                      <w:rFonts w:asciiTheme="minorHAnsi" w:hAnsiTheme="minorHAnsi"/>
                      <w:szCs w:val="22"/>
                    </w:rPr>
                  </w:pPr>
                  <w:r w:rsidRPr="008E73EB">
                    <w:rPr>
                      <w:rFonts w:asciiTheme="minorHAnsi" w:eastAsiaTheme="minorHAnsi" w:hAnsiTheme="minorHAnsi" w:cs="Arial"/>
                      <w:b/>
                      <w:bCs/>
                      <w:color w:val="000000"/>
                      <w:sz w:val="22"/>
                      <w:szCs w:val="22"/>
                      <w:lang w:val="es-EC"/>
                    </w:rPr>
                    <w:t>Intereses</w:t>
                  </w:r>
                </w:p>
              </w:tc>
              <w:tc>
                <w:tcPr>
                  <w:tcW w:w="3562" w:type="pct"/>
                </w:tcPr>
                <w:p w:rsidR="00C40CC5" w:rsidRPr="008E73EB" w:rsidRDefault="00C40CC5" w:rsidP="009D36F2">
                  <w:pPr>
                    <w:widowControl w:val="0"/>
                    <w:autoSpaceDE w:val="0"/>
                    <w:autoSpaceDN w:val="0"/>
                    <w:adjustRightInd w:val="0"/>
                    <w:spacing w:before="120" w:after="120" w:line="276" w:lineRule="auto"/>
                    <w:ind w:right="66"/>
                    <w:jc w:val="both"/>
                    <w:rPr>
                      <w:rFonts w:asciiTheme="minorHAnsi" w:eastAsiaTheme="minorHAnsi" w:hAnsiTheme="minorHAnsi" w:cs="Arial"/>
                      <w:bCs/>
                      <w:color w:val="000000"/>
                      <w:szCs w:val="22"/>
                    </w:rPr>
                  </w:pPr>
                  <w:r w:rsidRPr="008E73EB">
                    <w:rPr>
                      <w:rFonts w:asciiTheme="minorHAnsi" w:eastAsiaTheme="minorHAnsi" w:hAnsiTheme="minorHAnsi" w:cs="Arial"/>
                      <w:bCs/>
                      <w:color w:val="000000"/>
                      <w:sz w:val="22"/>
                      <w:szCs w:val="22"/>
                    </w:rPr>
                    <w:t>Los intereses constituyen una forma de renta por cobrar de los titulares de ciertas clases de activos financieros, a saber: depósitos, títulos de deuda, préstamos y (posiblemente) otras cuentas por cobrar, por haber puesto el activo financiero a disposición de otra unidad institucional.</w:t>
                  </w:r>
                </w:p>
              </w:tc>
            </w:tr>
            <w:tr w:rsidR="00C40CC5" w:rsidRPr="008E73EB" w:rsidTr="009D36F2">
              <w:trPr>
                <w:trHeight w:val="156"/>
              </w:trPr>
              <w:tc>
                <w:tcPr>
                  <w:tcW w:w="479" w:type="pct"/>
                </w:tcPr>
                <w:p w:rsidR="00C40CC5" w:rsidRPr="008E73EB" w:rsidRDefault="00C40CC5" w:rsidP="009D36F2">
                  <w:pPr>
                    <w:spacing w:before="120" w:after="120"/>
                    <w:rPr>
                      <w:rFonts w:asciiTheme="minorHAnsi" w:hAnsiTheme="minorHAnsi" w:cs="Calibri"/>
                      <w:b/>
                      <w:szCs w:val="22"/>
                      <w:lang w:val="es-EC"/>
                    </w:rPr>
                  </w:pPr>
                  <w:r w:rsidRPr="008E73EB">
                    <w:rPr>
                      <w:rFonts w:asciiTheme="minorHAnsi" w:eastAsiaTheme="minorHAnsi" w:hAnsiTheme="minorHAnsi" w:cs="Arial"/>
                      <w:b/>
                      <w:bCs/>
                      <w:color w:val="000000"/>
                      <w:sz w:val="22"/>
                      <w:szCs w:val="22"/>
                      <w:lang w:val="es-EC"/>
                    </w:rPr>
                    <w:t>D.42</w:t>
                  </w:r>
                </w:p>
              </w:tc>
              <w:tc>
                <w:tcPr>
                  <w:tcW w:w="959" w:type="pct"/>
                </w:tcPr>
                <w:p w:rsidR="00C40CC5" w:rsidRPr="008E73EB" w:rsidRDefault="00C40CC5" w:rsidP="009D36F2">
                  <w:pPr>
                    <w:spacing w:before="120" w:after="120"/>
                    <w:rPr>
                      <w:rFonts w:asciiTheme="minorHAnsi" w:hAnsiTheme="minorHAnsi" w:cs="Calibri"/>
                      <w:b/>
                      <w:bCs/>
                      <w:color w:val="000000"/>
                      <w:szCs w:val="22"/>
                      <w:lang w:val="es-EC" w:eastAsia="es-EC"/>
                    </w:rPr>
                  </w:pPr>
                  <w:r w:rsidRPr="008E73EB">
                    <w:rPr>
                      <w:rFonts w:asciiTheme="minorHAnsi" w:eastAsiaTheme="minorHAnsi" w:hAnsiTheme="minorHAnsi" w:cs="Arial"/>
                      <w:b/>
                      <w:bCs/>
                      <w:color w:val="000000"/>
                      <w:sz w:val="22"/>
                      <w:szCs w:val="22"/>
                      <w:lang w:val="es-EC"/>
                    </w:rPr>
                    <w:t>Renta distribuida de las sociedades</w:t>
                  </w:r>
                </w:p>
              </w:tc>
              <w:tc>
                <w:tcPr>
                  <w:tcW w:w="3562" w:type="pct"/>
                </w:tcPr>
                <w:p w:rsidR="00C40CC5" w:rsidRPr="008E73EB" w:rsidRDefault="00C40CC5" w:rsidP="009D36F2">
                  <w:pPr>
                    <w:spacing w:before="120" w:after="120"/>
                    <w:jc w:val="both"/>
                    <w:rPr>
                      <w:rFonts w:asciiTheme="minorHAnsi" w:eastAsiaTheme="minorHAnsi" w:hAnsiTheme="minorHAnsi" w:cs="Arial"/>
                      <w:bCs/>
                      <w:color w:val="000000"/>
                      <w:szCs w:val="22"/>
                    </w:rPr>
                  </w:pPr>
                  <w:r w:rsidRPr="008E73EB">
                    <w:rPr>
                      <w:rFonts w:asciiTheme="minorHAnsi" w:eastAsiaTheme="minorHAnsi" w:hAnsiTheme="minorHAnsi" w:cs="Arial"/>
                      <w:bCs/>
                      <w:color w:val="000000"/>
                      <w:sz w:val="22"/>
                      <w:szCs w:val="22"/>
                    </w:rPr>
                    <w:t xml:space="preserve">Las sociedades obtienen fondos emitiendo acciones de su capital social que dan derecho a los accionistas a participar de los beneficios distribuidos y del valor residual de los activos de la sociedad en caso de liquidación. </w:t>
                  </w:r>
                </w:p>
              </w:tc>
            </w:tr>
            <w:tr w:rsidR="00C40CC5" w:rsidRPr="008E73EB" w:rsidTr="009D36F2">
              <w:trPr>
                <w:trHeight w:val="156"/>
              </w:trPr>
              <w:tc>
                <w:tcPr>
                  <w:tcW w:w="479" w:type="pct"/>
                </w:tcPr>
                <w:p w:rsidR="00C40CC5" w:rsidRPr="008E73EB" w:rsidRDefault="00C40CC5" w:rsidP="009D36F2">
                  <w:pPr>
                    <w:spacing w:before="120" w:after="120"/>
                    <w:rPr>
                      <w:rFonts w:asciiTheme="minorHAnsi" w:hAnsiTheme="minorHAnsi" w:cs="Calibri"/>
                      <w:b/>
                      <w:szCs w:val="22"/>
                      <w:lang w:val="es-EC"/>
                    </w:rPr>
                  </w:pPr>
                  <w:r w:rsidRPr="008E73EB">
                    <w:rPr>
                      <w:rFonts w:asciiTheme="minorHAnsi" w:eastAsiaTheme="minorHAnsi" w:hAnsiTheme="minorHAnsi"/>
                      <w:b/>
                      <w:sz w:val="22"/>
                      <w:szCs w:val="22"/>
                      <w:lang w:val="es-EC"/>
                    </w:rPr>
                    <w:t>D.421</w:t>
                  </w:r>
                </w:p>
              </w:tc>
              <w:tc>
                <w:tcPr>
                  <w:tcW w:w="959" w:type="pct"/>
                </w:tcPr>
                <w:p w:rsidR="00C40CC5" w:rsidRPr="008E73EB" w:rsidRDefault="00C40CC5" w:rsidP="009D36F2">
                  <w:pPr>
                    <w:spacing w:before="120" w:after="120"/>
                    <w:rPr>
                      <w:rFonts w:asciiTheme="minorHAnsi" w:hAnsiTheme="minorHAnsi" w:cs="Calibri"/>
                      <w:b/>
                      <w:bCs/>
                      <w:color w:val="000000"/>
                      <w:szCs w:val="22"/>
                      <w:lang w:val="es-EC" w:eastAsia="es-EC"/>
                    </w:rPr>
                  </w:pPr>
                  <w:r w:rsidRPr="008E73EB">
                    <w:rPr>
                      <w:rFonts w:asciiTheme="minorHAnsi" w:eastAsiaTheme="minorHAnsi" w:hAnsiTheme="minorHAnsi"/>
                      <w:b/>
                      <w:sz w:val="22"/>
                      <w:szCs w:val="22"/>
                      <w:lang w:val="es-EC"/>
                    </w:rPr>
                    <w:t>Dividendos</w:t>
                  </w:r>
                </w:p>
              </w:tc>
              <w:tc>
                <w:tcPr>
                  <w:tcW w:w="3562" w:type="pct"/>
                </w:tcPr>
                <w:p w:rsidR="00C40CC5" w:rsidRPr="008E73EB" w:rsidRDefault="00C40CC5" w:rsidP="009D36F2">
                  <w:pPr>
                    <w:spacing w:before="120" w:after="120"/>
                    <w:jc w:val="both"/>
                    <w:rPr>
                      <w:rFonts w:asciiTheme="minorHAnsi" w:eastAsiaTheme="minorHAnsi" w:hAnsiTheme="minorHAnsi"/>
                      <w:szCs w:val="22"/>
                      <w:lang w:val="es-EC"/>
                    </w:rPr>
                  </w:pPr>
                  <w:r w:rsidRPr="008E73EB">
                    <w:rPr>
                      <w:rFonts w:asciiTheme="minorHAnsi" w:eastAsiaTheme="minorHAnsi" w:hAnsiTheme="minorHAnsi"/>
                      <w:sz w:val="22"/>
                      <w:szCs w:val="22"/>
                      <w:lang w:val="es-EC"/>
                    </w:rPr>
                    <w:t xml:space="preserve">Los dividendos son una forma de renta de la inversión a la que tienen derechos los accionistas como resultado de poner sus fondos a disposición de las sociedades.  </w:t>
                  </w:r>
                </w:p>
              </w:tc>
            </w:tr>
            <w:tr w:rsidR="00C40CC5" w:rsidRPr="008E73EB" w:rsidTr="009D36F2">
              <w:trPr>
                <w:trHeight w:val="156"/>
              </w:trPr>
              <w:tc>
                <w:tcPr>
                  <w:tcW w:w="479" w:type="pct"/>
                </w:tcPr>
                <w:p w:rsidR="00C40CC5" w:rsidRPr="008E73EB" w:rsidRDefault="00C40CC5" w:rsidP="009D36F2">
                  <w:pPr>
                    <w:spacing w:before="120" w:after="120"/>
                    <w:rPr>
                      <w:rFonts w:asciiTheme="minorHAnsi" w:hAnsiTheme="minorHAnsi" w:cs="Calibri"/>
                      <w:b/>
                      <w:szCs w:val="22"/>
                      <w:lang w:val="es-EC"/>
                    </w:rPr>
                  </w:pPr>
                  <w:r w:rsidRPr="008E73EB">
                    <w:rPr>
                      <w:rFonts w:asciiTheme="minorHAnsi" w:eastAsiaTheme="minorHAnsi" w:hAnsiTheme="minorHAnsi"/>
                      <w:b/>
                      <w:sz w:val="22"/>
                      <w:szCs w:val="22"/>
                      <w:lang w:val="es-EC"/>
                    </w:rPr>
                    <w:t>D.422</w:t>
                  </w:r>
                </w:p>
              </w:tc>
              <w:tc>
                <w:tcPr>
                  <w:tcW w:w="959" w:type="pct"/>
                </w:tcPr>
                <w:p w:rsidR="00C40CC5" w:rsidRPr="008E73EB" w:rsidRDefault="00C40CC5" w:rsidP="009D36F2">
                  <w:pPr>
                    <w:spacing w:before="120" w:after="120"/>
                    <w:rPr>
                      <w:rFonts w:asciiTheme="minorHAnsi" w:hAnsiTheme="minorHAnsi" w:cs="Calibri"/>
                      <w:b/>
                      <w:bCs/>
                      <w:color w:val="000000"/>
                      <w:szCs w:val="22"/>
                      <w:lang w:val="es-EC" w:eastAsia="es-EC"/>
                    </w:rPr>
                  </w:pPr>
                  <w:r w:rsidRPr="008E73EB">
                    <w:rPr>
                      <w:rFonts w:asciiTheme="minorHAnsi" w:eastAsiaTheme="minorHAnsi" w:hAnsiTheme="minorHAnsi"/>
                      <w:b/>
                      <w:sz w:val="22"/>
                      <w:szCs w:val="22"/>
                      <w:lang w:val="es-EC"/>
                    </w:rPr>
                    <w:t>Retiros de la renta de las cuasi sociedades</w:t>
                  </w:r>
                </w:p>
              </w:tc>
              <w:tc>
                <w:tcPr>
                  <w:tcW w:w="3562" w:type="pct"/>
                </w:tcPr>
                <w:p w:rsidR="00C40CC5" w:rsidRPr="008E73EB" w:rsidRDefault="00C40CC5" w:rsidP="009D36F2">
                  <w:pPr>
                    <w:spacing w:before="120" w:after="120"/>
                    <w:jc w:val="both"/>
                    <w:rPr>
                      <w:rFonts w:asciiTheme="minorHAnsi" w:eastAsiaTheme="minorHAnsi" w:hAnsiTheme="minorHAnsi"/>
                      <w:szCs w:val="22"/>
                      <w:lang w:val="es-EC"/>
                    </w:rPr>
                  </w:pPr>
                  <w:r w:rsidRPr="008E73EB">
                    <w:rPr>
                      <w:rFonts w:asciiTheme="minorHAnsi" w:eastAsiaTheme="minorHAnsi" w:hAnsiTheme="minorHAnsi"/>
                      <w:sz w:val="22"/>
                      <w:szCs w:val="22"/>
                      <w:lang w:val="es-EC"/>
                    </w:rPr>
                    <w:t>El retiro de la renta de una cuasi sociedad consiste en la parte de la renta por distribuir que el propietario retira de la cuasi sociedad.</w:t>
                  </w:r>
                </w:p>
              </w:tc>
            </w:tr>
            <w:tr w:rsidR="00C40CC5" w:rsidRPr="008E73EB" w:rsidTr="009D36F2">
              <w:trPr>
                <w:trHeight w:val="156"/>
              </w:trPr>
              <w:tc>
                <w:tcPr>
                  <w:tcW w:w="479" w:type="pct"/>
                </w:tcPr>
                <w:p w:rsidR="00C40CC5" w:rsidRPr="008E73EB" w:rsidRDefault="00C40CC5" w:rsidP="009D36F2">
                  <w:pPr>
                    <w:spacing w:before="120" w:after="120"/>
                    <w:rPr>
                      <w:rFonts w:asciiTheme="minorHAnsi" w:hAnsiTheme="minorHAnsi" w:cs="Calibri"/>
                      <w:b/>
                      <w:szCs w:val="22"/>
                      <w:lang w:val="es-EC"/>
                    </w:rPr>
                  </w:pPr>
                  <w:r w:rsidRPr="008E73EB">
                    <w:rPr>
                      <w:rFonts w:asciiTheme="minorHAnsi" w:eastAsiaTheme="minorHAnsi" w:hAnsiTheme="minorHAnsi"/>
                      <w:b/>
                      <w:sz w:val="22"/>
                      <w:szCs w:val="22"/>
                      <w:lang w:val="es-EC"/>
                    </w:rPr>
                    <w:t>D.43</w:t>
                  </w:r>
                </w:p>
              </w:tc>
              <w:tc>
                <w:tcPr>
                  <w:tcW w:w="959" w:type="pct"/>
                </w:tcPr>
                <w:p w:rsidR="00C40CC5" w:rsidRPr="008E73EB" w:rsidRDefault="00C40CC5" w:rsidP="009D36F2">
                  <w:pPr>
                    <w:spacing w:before="120" w:after="120"/>
                    <w:rPr>
                      <w:rFonts w:asciiTheme="minorHAnsi" w:hAnsiTheme="minorHAnsi" w:cs="Calibri"/>
                      <w:b/>
                      <w:bCs/>
                      <w:color w:val="000000"/>
                      <w:szCs w:val="22"/>
                      <w:lang w:val="es-EC" w:eastAsia="es-EC"/>
                    </w:rPr>
                  </w:pPr>
                  <w:r w:rsidRPr="008E73EB">
                    <w:rPr>
                      <w:rFonts w:asciiTheme="minorHAnsi" w:eastAsiaTheme="minorHAnsi" w:hAnsiTheme="minorHAnsi"/>
                      <w:b/>
                      <w:sz w:val="22"/>
                      <w:szCs w:val="22"/>
                      <w:lang w:val="es-EC"/>
                    </w:rPr>
                    <w:t>Utilidades reinvertidas de la inversión extranjera directa</w:t>
                  </w:r>
                </w:p>
              </w:tc>
              <w:tc>
                <w:tcPr>
                  <w:tcW w:w="3562" w:type="pct"/>
                </w:tcPr>
                <w:p w:rsidR="00C40CC5" w:rsidRPr="008E73EB" w:rsidRDefault="00C40CC5" w:rsidP="009D36F2">
                  <w:pPr>
                    <w:spacing w:before="120" w:after="120"/>
                    <w:jc w:val="both"/>
                    <w:rPr>
                      <w:rFonts w:asciiTheme="minorHAnsi" w:eastAsiaTheme="minorHAnsi" w:hAnsiTheme="minorHAnsi"/>
                      <w:szCs w:val="22"/>
                      <w:lang w:val="es-EC"/>
                    </w:rPr>
                  </w:pPr>
                  <w:r w:rsidRPr="008E73EB">
                    <w:rPr>
                      <w:rFonts w:asciiTheme="minorHAnsi" w:eastAsiaTheme="minorHAnsi" w:hAnsiTheme="minorHAnsi"/>
                      <w:sz w:val="22"/>
                      <w:szCs w:val="22"/>
                      <w:lang w:val="es-EC"/>
                    </w:rPr>
                    <w:t xml:space="preserve">Según se explica en el capítulo 26, una empresa de inversión extranjera directa es una empresa constituida o no en sociedad en la que un inversor extranjero ha hecho una inversión extranjera directa. Una empresa de inversión extranjera directa puede ser: </w:t>
                  </w:r>
                </w:p>
                <w:p w:rsidR="00C40CC5" w:rsidRPr="008E73EB" w:rsidRDefault="00C40CC5" w:rsidP="009D36F2">
                  <w:pPr>
                    <w:spacing w:before="120" w:after="120"/>
                    <w:jc w:val="both"/>
                    <w:rPr>
                      <w:rFonts w:asciiTheme="minorHAnsi" w:eastAsiaTheme="minorHAnsi" w:hAnsiTheme="minorHAnsi"/>
                      <w:szCs w:val="22"/>
                      <w:lang w:val="es-EC"/>
                    </w:rPr>
                  </w:pPr>
                  <w:r w:rsidRPr="008E73EB">
                    <w:rPr>
                      <w:rFonts w:asciiTheme="minorHAnsi" w:eastAsiaTheme="minorHAnsi" w:hAnsiTheme="minorHAnsi"/>
                      <w:sz w:val="22"/>
                      <w:szCs w:val="22"/>
                      <w:lang w:val="es-EC"/>
                    </w:rPr>
                    <w:t xml:space="preserve">a. Una sucursal (no constituida en sociedad) de una empresa, constituida o no en sociedad, no residente, que se trata como una cuasi sociedad; o </w:t>
                  </w:r>
                </w:p>
                <w:p w:rsidR="00C40CC5" w:rsidRPr="008E73EB" w:rsidRDefault="00C40CC5" w:rsidP="009D36F2">
                  <w:pPr>
                    <w:spacing w:before="120" w:after="120"/>
                    <w:jc w:val="both"/>
                    <w:rPr>
                      <w:rFonts w:asciiTheme="minorHAnsi" w:hAnsiTheme="minorHAnsi"/>
                      <w:b/>
                      <w:szCs w:val="22"/>
                    </w:rPr>
                  </w:pPr>
                  <w:r w:rsidRPr="008E73EB">
                    <w:rPr>
                      <w:rFonts w:asciiTheme="minorHAnsi" w:eastAsiaTheme="minorHAnsi" w:hAnsiTheme="minorHAnsi"/>
                      <w:sz w:val="22"/>
                      <w:szCs w:val="22"/>
                      <w:lang w:val="es-EC"/>
                    </w:rPr>
                    <w:t>b. Una sociedad en la que al menos un inversor extranjero (que puede ser o no otra sociedad) posee suficientes acciones como para participar de manera efectiva en su gestión</w:t>
                  </w:r>
                </w:p>
              </w:tc>
            </w:tr>
            <w:tr w:rsidR="00C40CC5" w:rsidRPr="008E73EB" w:rsidTr="009D36F2">
              <w:trPr>
                <w:trHeight w:val="156"/>
              </w:trPr>
              <w:tc>
                <w:tcPr>
                  <w:tcW w:w="479" w:type="pct"/>
                </w:tcPr>
                <w:p w:rsidR="00C40CC5" w:rsidRPr="008E73EB" w:rsidRDefault="00C40CC5" w:rsidP="009D36F2">
                  <w:pPr>
                    <w:spacing w:before="120" w:after="120"/>
                    <w:rPr>
                      <w:rFonts w:asciiTheme="minorHAnsi" w:hAnsiTheme="minorHAnsi" w:cs="Calibri"/>
                      <w:b/>
                      <w:szCs w:val="22"/>
                      <w:lang w:val="es-EC"/>
                    </w:rPr>
                  </w:pPr>
                  <w:r w:rsidRPr="008E73EB">
                    <w:rPr>
                      <w:rFonts w:asciiTheme="minorHAnsi" w:eastAsiaTheme="minorHAnsi" w:hAnsiTheme="minorHAnsi"/>
                      <w:b/>
                      <w:sz w:val="22"/>
                      <w:szCs w:val="22"/>
                      <w:lang w:val="es-EC"/>
                    </w:rPr>
                    <w:t>D.44</w:t>
                  </w:r>
                  <w:r w:rsidRPr="008E73EB">
                    <w:rPr>
                      <w:rFonts w:asciiTheme="minorHAnsi" w:eastAsiaTheme="minorHAnsi" w:hAnsiTheme="minorHAnsi"/>
                      <w:b/>
                      <w:sz w:val="22"/>
                      <w:szCs w:val="22"/>
                      <w:lang w:val="es-EC"/>
                    </w:rPr>
                    <w:tab/>
                  </w:r>
                </w:p>
              </w:tc>
              <w:tc>
                <w:tcPr>
                  <w:tcW w:w="959" w:type="pct"/>
                </w:tcPr>
                <w:p w:rsidR="00C40CC5" w:rsidRPr="008E73EB" w:rsidRDefault="00C40CC5" w:rsidP="009D36F2">
                  <w:pPr>
                    <w:spacing w:before="120" w:after="120"/>
                    <w:rPr>
                      <w:rFonts w:asciiTheme="minorHAnsi" w:hAnsiTheme="minorHAnsi" w:cs="Calibri"/>
                      <w:b/>
                      <w:bCs/>
                      <w:color w:val="000000"/>
                      <w:szCs w:val="22"/>
                      <w:lang w:val="es-EC" w:eastAsia="es-EC"/>
                    </w:rPr>
                  </w:pPr>
                  <w:r w:rsidRPr="008E73EB">
                    <w:rPr>
                      <w:rFonts w:asciiTheme="minorHAnsi" w:eastAsiaTheme="minorHAnsi" w:hAnsiTheme="minorHAnsi"/>
                      <w:b/>
                      <w:sz w:val="22"/>
                      <w:szCs w:val="22"/>
                      <w:lang w:val="es-EC"/>
                    </w:rPr>
                    <w:t>Desembolsos por renta de inversión</w:t>
                  </w:r>
                </w:p>
              </w:tc>
              <w:tc>
                <w:tcPr>
                  <w:tcW w:w="3562" w:type="pct"/>
                </w:tcPr>
                <w:p w:rsidR="00C40CC5" w:rsidRPr="008E73EB" w:rsidRDefault="00C40CC5" w:rsidP="009D36F2">
                  <w:pPr>
                    <w:spacing w:before="120" w:after="120"/>
                    <w:jc w:val="both"/>
                    <w:rPr>
                      <w:rFonts w:asciiTheme="minorHAnsi" w:hAnsiTheme="minorHAnsi"/>
                      <w:b/>
                      <w:szCs w:val="22"/>
                    </w:rPr>
                  </w:pPr>
                  <w:r w:rsidRPr="008E73EB">
                    <w:rPr>
                      <w:rFonts w:asciiTheme="minorHAnsi" w:eastAsiaTheme="minorHAnsi" w:hAnsiTheme="minorHAnsi"/>
                      <w:sz w:val="22"/>
                      <w:szCs w:val="22"/>
                      <w:lang w:val="es-EC"/>
                    </w:rPr>
                    <w:t>Renta de la inversión atribuida a los titulares de pólizas de seguros</w:t>
                  </w:r>
                </w:p>
              </w:tc>
            </w:tr>
            <w:tr w:rsidR="00C40CC5" w:rsidRPr="008E73EB" w:rsidTr="009D36F2">
              <w:trPr>
                <w:trHeight w:val="156"/>
              </w:trPr>
              <w:tc>
                <w:tcPr>
                  <w:tcW w:w="479" w:type="pct"/>
                </w:tcPr>
                <w:p w:rsidR="00C40CC5" w:rsidRPr="008E73EB" w:rsidRDefault="00C40CC5" w:rsidP="009D36F2">
                  <w:pPr>
                    <w:spacing w:before="120" w:after="120"/>
                    <w:rPr>
                      <w:rFonts w:asciiTheme="minorHAnsi" w:hAnsiTheme="minorHAnsi" w:cs="Calibri"/>
                      <w:b/>
                      <w:szCs w:val="22"/>
                      <w:lang w:val="es-EC"/>
                    </w:rPr>
                  </w:pPr>
                  <w:r w:rsidRPr="008E73EB">
                    <w:rPr>
                      <w:rFonts w:asciiTheme="minorHAnsi" w:eastAsiaTheme="minorHAnsi" w:hAnsiTheme="minorHAnsi" w:cs="Arial"/>
                      <w:b/>
                      <w:bCs/>
                      <w:color w:val="000000"/>
                      <w:sz w:val="22"/>
                      <w:szCs w:val="22"/>
                    </w:rPr>
                    <w:t>D.45</w:t>
                  </w:r>
                </w:p>
              </w:tc>
              <w:tc>
                <w:tcPr>
                  <w:tcW w:w="959" w:type="pct"/>
                </w:tcPr>
                <w:p w:rsidR="00C40CC5" w:rsidRPr="008E73EB" w:rsidRDefault="00C40CC5" w:rsidP="009D36F2">
                  <w:pPr>
                    <w:spacing w:before="120" w:after="120"/>
                    <w:rPr>
                      <w:rFonts w:asciiTheme="minorHAnsi" w:hAnsiTheme="minorHAnsi" w:cs="Calibri"/>
                      <w:szCs w:val="22"/>
                      <w:lang w:val="es-EC" w:eastAsia="es-EC"/>
                    </w:rPr>
                  </w:pPr>
                  <w:r w:rsidRPr="008E73EB">
                    <w:rPr>
                      <w:rFonts w:asciiTheme="minorHAnsi" w:eastAsiaTheme="minorHAnsi" w:hAnsiTheme="minorHAnsi" w:cs="Arial"/>
                      <w:b/>
                      <w:bCs/>
                      <w:color w:val="000000"/>
                      <w:sz w:val="22"/>
                      <w:szCs w:val="22"/>
                    </w:rPr>
                    <w:t xml:space="preserve">Renta de </w:t>
                  </w:r>
                  <w:r w:rsidRPr="008E73EB">
                    <w:rPr>
                      <w:rFonts w:asciiTheme="minorHAnsi" w:eastAsiaTheme="minorHAnsi" w:hAnsiTheme="minorHAnsi" w:cs="Arial"/>
                      <w:b/>
                      <w:bCs/>
                      <w:color w:val="000000"/>
                      <w:sz w:val="22"/>
                      <w:szCs w:val="22"/>
                    </w:rPr>
                    <w:lastRenderedPageBreak/>
                    <w:t>recursos naturales</w:t>
                  </w:r>
                  <w:r w:rsidRPr="008E73EB">
                    <w:rPr>
                      <w:rFonts w:asciiTheme="minorHAnsi" w:hAnsiTheme="minorHAnsi" w:cs="Calibri"/>
                      <w:sz w:val="22"/>
                      <w:szCs w:val="22"/>
                      <w:lang w:val="es-EC" w:eastAsia="es-EC"/>
                    </w:rPr>
                    <w:t xml:space="preserve"> </w:t>
                  </w:r>
                </w:p>
              </w:tc>
              <w:tc>
                <w:tcPr>
                  <w:tcW w:w="3562" w:type="pct"/>
                </w:tcPr>
                <w:p w:rsidR="00C40CC5" w:rsidRPr="008E73EB" w:rsidRDefault="00C40CC5" w:rsidP="009D36F2">
                  <w:pPr>
                    <w:spacing w:before="120" w:after="120"/>
                    <w:jc w:val="both"/>
                    <w:rPr>
                      <w:rFonts w:asciiTheme="minorHAnsi" w:hAnsiTheme="minorHAnsi"/>
                      <w:b/>
                      <w:szCs w:val="22"/>
                    </w:rPr>
                  </w:pPr>
                  <w:r w:rsidRPr="008E73EB">
                    <w:rPr>
                      <w:rFonts w:asciiTheme="minorHAnsi" w:eastAsiaTheme="minorHAnsi" w:hAnsiTheme="minorHAnsi" w:cs="Arial"/>
                      <w:bCs/>
                      <w:color w:val="000000"/>
                      <w:sz w:val="22"/>
                      <w:szCs w:val="22"/>
                    </w:rPr>
                    <w:lastRenderedPageBreak/>
                    <w:t xml:space="preserve">La renta de los recursos naturales es la renta por cobrar del </w:t>
                  </w:r>
                  <w:r w:rsidRPr="008E73EB">
                    <w:rPr>
                      <w:rFonts w:asciiTheme="minorHAnsi" w:eastAsiaTheme="minorHAnsi" w:hAnsiTheme="minorHAnsi" w:cs="Arial"/>
                      <w:bCs/>
                      <w:color w:val="000000"/>
                      <w:sz w:val="22"/>
                      <w:szCs w:val="22"/>
                    </w:rPr>
                    <w:lastRenderedPageBreak/>
                    <w:t>propietario de un recurso natural (el arrendador o dueño) a cambio de poner los  recursos naturales a disposición de otra unidad institucional (un arrendatario o inquilino) para que los utilice en la producción</w:t>
                  </w:r>
                </w:p>
              </w:tc>
            </w:tr>
            <w:tr w:rsidR="00C40CC5" w:rsidRPr="008E73EB" w:rsidTr="009D36F2">
              <w:trPr>
                <w:trHeight w:val="156"/>
              </w:trPr>
              <w:tc>
                <w:tcPr>
                  <w:tcW w:w="479" w:type="pct"/>
                </w:tcPr>
                <w:p w:rsidR="00C40CC5" w:rsidRPr="008E73EB" w:rsidRDefault="00C40CC5" w:rsidP="009D36F2">
                  <w:pPr>
                    <w:spacing w:before="120" w:after="120"/>
                    <w:rPr>
                      <w:rFonts w:asciiTheme="minorHAnsi" w:hAnsiTheme="minorHAnsi" w:cs="Calibri"/>
                      <w:b/>
                      <w:szCs w:val="22"/>
                      <w:lang w:val="es-EC"/>
                    </w:rPr>
                  </w:pPr>
                  <w:r w:rsidRPr="008E73EB">
                    <w:rPr>
                      <w:rFonts w:asciiTheme="minorHAnsi" w:eastAsiaTheme="minorHAnsi" w:hAnsiTheme="minorHAnsi" w:cs="Arial"/>
                      <w:b/>
                      <w:bCs/>
                      <w:color w:val="000000"/>
                      <w:sz w:val="22"/>
                      <w:szCs w:val="22"/>
                      <w:lang w:val="es-EC"/>
                    </w:rPr>
                    <w:lastRenderedPageBreak/>
                    <w:t>B.5b</w:t>
                  </w:r>
                </w:p>
              </w:tc>
              <w:tc>
                <w:tcPr>
                  <w:tcW w:w="959" w:type="pct"/>
                </w:tcPr>
                <w:p w:rsidR="00C40CC5" w:rsidRPr="008E73EB" w:rsidRDefault="00C40CC5" w:rsidP="009D36F2">
                  <w:pPr>
                    <w:spacing w:before="120" w:after="120"/>
                    <w:rPr>
                      <w:rFonts w:asciiTheme="minorHAnsi" w:hAnsiTheme="minorHAnsi" w:cs="Calibri"/>
                      <w:b/>
                      <w:bCs/>
                      <w:color w:val="000000"/>
                      <w:szCs w:val="22"/>
                      <w:lang w:val="es-EC" w:eastAsia="es-EC"/>
                    </w:rPr>
                  </w:pPr>
                  <w:r w:rsidRPr="008E73EB">
                    <w:rPr>
                      <w:rFonts w:asciiTheme="minorHAnsi" w:eastAsiaTheme="minorHAnsi" w:hAnsiTheme="minorHAnsi" w:cs="Arial"/>
                      <w:b/>
                      <w:bCs/>
                      <w:color w:val="000000"/>
                      <w:sz w:val="22"/>
                      <w:szCs w:val="22"/>
                      <w:lang w:val="es-EC"/>
                    </w:rPr>
                    <w:t>Ingreso nacional bruto</w:t>
                  </w:r>
                </w:p>
              </w:tc>
              <w:tc>
                <w:tcPr>
                  <w:tcW w:w="3562" w:type="pct"/>
                  <w:shd w:val="clear" w:color="auto" w:fill="auto"/>
                </w:tcPr>
                <w:p w:rsidR="00C40CC5" w:rsidRPr="00324EDD" w:rsidRDefault="00C40CC5" w:rsidP="009D36F2">
                  <w:pPr>
                    <w:spacing w:before="120" w:after="120"/>
                    <w:jc w:val="both"/>
                    <w:rPr>
                      <w:rFonts w:asciiTheme="minorHAnsi" w:hAnsiTheme="minorHAnsi"/>
                      <w:szCs w:val="22"/>
                    </w:rPr>
                  </w:pPr>
                  <w:r w:rsidRPr="00324EDD">
                    <w:rPr>
                      <w:rFonts w:asciiTheme="minorHAnsi" w:hAnsiTheme="minorHAnsi"/>
                      <w:sz w:val="22"/>
                      <w:szCs w:val="22"/>
                    </w:rPr>
                    <w:t>El ingreso nacional bruto o neto puede calcularse mediante:</w:t>
                  </w:r>
                </w:p>
                <w:p w:rsidR="00C40CC5" w:rsidRPr="00324EDD" w:rsidRDefault="00C40CC5" w:rsidP="00C40CC5">
                  <w:pPr>
                    <w:pStyle w:val="Prrafodelista"/>
                    <w:numPr>
                      <w:ilvl w:val="0"/>
                      <w:numId w:val="1"/>
                    </w:numPr>
                    <w:spacing w:before="120" w:after="120"/>
                    <w:ind w:left="325" w:hanging="283"/>
                    <w:jc w:val="both"/>
                    <w:rPr>
                      <w:rFonts w:asciiTheme="minorHAnsi" w:hAnsiTheme="minorHAnsi"/>
                      <w:szCs w:val="22"/>
                    </w:rPr>
                  </w:pPr>
                  <w:r w:rsidRPr="00324EDD">
                    <w:rPr>
                      <w:rFonts w:asciiTheme="minorHAnsi" w:hAnsiTheme="minorHAnsi"/>
                      <w:sz w:val="22"/>
                      <w:szCs w:val="22"/>
                    </w:rPr>
                    <w:t>Sumando total las transferencias corrientes en dinero o en especie a recibir por las unidades institucionales residentes de las unidades no residentes.</w:t>
                  </w:r>
                </w:p>
                <w:p w:rsidR="00C40CC5" w:rsidRPr="00324EDD" w:rsidRDefault="00C40CC5" w:rsidP="00C40CC5">
                  <w:pPr>
                    <w:pStyle w:val="Prrafodelista"/>
                    <w:numPr>
                      <w:ilvl w:val="0"/>
                      <w:numId w:val="1"/>
                    </w:numPr>
                    <w:spacing w:before="120" w:after="120"/>
                    <w:ind w:left="325" w:hanging="283"/>
                    <w:jc w:val="both"/>
                    <w:rPr>
                      <w:rFonts w:asciiTheme="minorHAnsi" w:hAnsiTheme="minorHAnsi"/>
                      <w:szCs w:val="22"/>
                    </w:rPr>
                  </w:pPr>
                  <w:r w:rsidRPr="00324EDD">
                    <w:rPr>
                      <w:rFonts w:asciiTheme="minorHAnsi" w:hAnsiTheme="minorHAnsi"/>
                      <w:sz w:val="22"/>
                      <w:szCs w:val="22"/>
                    </w:rPr>
                    <w:t>Restando todas las trasferencia corrientes en dinero o en especie a pagar por la unidades institucionales residentes a las unidades no residentes.</w:t>
                  </w:r>
                </w:p>
              </w:tc>
            </w:tr>
            <w:tr w:rsidR="00C40CC5" w:rsidRPr="008E73EB" w:rsidTr="009D36F2">
              <w:trPr>
                <w:trHeight w:val="156"/>
              </w:trPr>
              <w:tc>
                <w:tcPr>
                  <w:tcW w:w="479" w:type="pct"/>
                </w:tcPr>
                <w:p w:rsidR="00C40CC5" w:rsidRPr="008E73EB" w:rsidRDefault="00C40CC5" w:rsidP="009D36F2">
                  <w:pPr>
                    <w:spacing w:before="120" w:after="120"/>
                    <w:rPr>
                      <w:rFonts w:asciiTheme="minorHAnsi" w:hAnsiTheme="minorHAnsi" w:cs="Calibri"/>
                      <w:b/>
                      <w:szCs w:val="22"/>
                      <w:lang w:val="es-EC"/>
                    </w:rPr>
                  </w:pPr>
                  <w:r w:rsidRPr="008E73EB">
                    <w:rPr>
                      <w:rFonts w:asciiTheme="minorHAnsi" w:eastAsiaTheme="minorHAnsi" w:hAnsiTheme="minorHAnsi" w:cs="Arial"/>
                      <w:b/>
                      <w:bCs/>
                      <w:color w:val="000000"/>
                      <w:sz w:val="22"/>
                      <w:szCs w:val="22"/>
                      <w:lang w:val="es-EC"/>
                    </w:rPr>
                    <w:t>B.5n</w:t>
                  </w:r>
                </w:p>
              </w:tc>
              <w:tc>
                <w:tcPr>
                  <w:tcW w:w="959" w:type="pct"/>
                </w:tcPr>
                <w:p w:rsidR="00C40CC5" w:rsidRPr="008E73EB" w:rsidRDefault="00C40CC5" w:rsidP="009D36F2">
                  <w:pPr>
                    <w:spacing w:before="120" w:after="120"/>
                    <w:rPr>
                      <w:rFonts w:asciiTheme="minorHAnsi" w:hAnsiTheme="minorHAnsi" w:cs="Calibri"/>
                      <w:b/>
                      <w:bCs/>
                      <w:color w:val="000000"/>
                      <w:szCs w:val="22"/>
                      <w:lang w:val="es-EC" w:eastAsia="es-EC"/>
                    </w:rPr>
                  </w:pPr>
                  <w:r w:rsidRPr="008E73EB">
                    <w:rPr>
                      <w:rFonts w:asciiTheme="minorHAnsi" w:eastAsiaTheme="minorHAnsi" w:hAnsiTheme="minorHAnsi" w:cs="Arial"/>
                      <w:b/>
                      <w:bCs/>
                      <w:color w:val="000000"/>
                      <w:sz w:val="22"/>
                      <w:szCs w:val="22"/>
                      <w:lang w:val="es-EC"/>
                    </w:rPr>
                    <w:t>Ingreso nacional neto</w:t>
                  </w:r>
                </w:p>
              </w:tc>
              <w:tc>
                <w:tcPr>
                  <w:tcW w:w="3562" w:type="pct"/>
                  <w:shd w:val="clear" w:color="auto" w:fill="auto"/>
                </w:tcPr>
                <w:p w:rsidR="00C40CC5" w:rsidRPr="00324EDD" w:rsidRDefault="00C40CC5" w:rsidP="009D36F2">
                  <w:pPr>
                    <w:jc w:val="both"/>
                    <w:rPr>
                      <w:rFonts w:asciiTheme="minorHAnsi" w:hAnsiTheme="minorHAnsi"/>
                      <w:szCs w:val="22"/>
                    </w:rPr>
                  </w:pPr>
                  <w:r w:rsidRPr="00324EDD">
                    <w:rPr>
                      <w:rFonts w:asciiTheme="minorHAnsi" w:hAnsiTheme="minorHAnsi"/>
                      <w:sz w:val="22"/>
                      <w:szCs w:val="22"/>
                    </w:rPr>
                    <w:t>El ingreso nacional bruto o neto puede calcularse mediante:</w:t>
                  </w:r>
                </w:p>
                <w:p w:rsidR="00C40CC5" w:rsidRPr="00324EDD" w:rsidRDefault="00C40CC5" w:rsidP="00C40CC5">
                  <w:pPr>
                    <w:pStyle w:val="Prrafodelista"/>
                    <w:numPr>
                      <w:ilvl w:val="0"/>
                      <w:numId w:val="1"/>
                    </w:numPr>
                    <w:ind w:left="325" w:hanging="283"/>
                    <w:jc w:val="both"/>
                    <w:rPr>
                      <w:rFonts w:asciiTheme="minorHAnsi" w:hAnsiTheme="minorHAnsi"/>
                      <w:szCs w:val="22"/>
                    </w:rPr>
                  </w:pPr>
                  <w:r w:rsidRPr="00324EDD">
                    <w:rPr>
                      <w:rFonts w:asciiTheme="minorHAnsi" w:hAnsiTheme="minorHAnsi"/>
                      <w:sz w:val="22"/>
                      <w:szCs w:val="22"/>
                    </w:rPr>
                    <w:t>Sumando total las transferencias corrientes en dinero o en especie a recibir por las unidades institucionales residentes de las unidades no residentes.</w:t>
                  </w:r>
                </w:p>
                <w:p w:rsidR="00C40CC5" w:rsidRPr="00324EDD" w:rsidRDefault="00C40CC5" w:rsidP="00C40CC5">
                  <w:pPr>
                    <w:pStyle w:val="Prrafodelista"/>
                    <w:numPr>
                      <w:ilvl w:val="0"/>
                      <w:numId w:val="1"/>
                    </w:numPr>
                    <w:ind w:left="325" w:hanging="283"/>
                    <w:jc w:val="both"/>
                    <w:rPr>
                      <w:rFonts w:asciiTheme="minorHAnsi" w:hAnsiTheme="minorHAnsi"/>
                      <w:szCs w:val="22"/>
                    </w:rPr>
                  </w:pPr>
                  <w:r w:rsidRPr="00324EDD">
                    <w:rPr>
                      <w:rFonts w:asciiTheme="minorHAnsi" w:hAnsiTheme="minorHAnsi"/>
                      <w:sz w:val="22"/>
                      <w:szCs w:val="22"/>
                    </w:rPr>
                    <w:t>Restando todas las trasferencia corrientes en dinero o en especie a pagar por la unidades institucionales residentes a las unidades no residentes.</w:t>
                  </w:r>
                </w:p>
              </w:tc>
            </w:tr>
          </w:tbl>
          <w:p w:rsidR="00C40CC5" w:rsidRPr="009036BF" w:rsidRDefault="00C40CC5" w:rsidP="009D36F2">
            <w:pPr>
              <w:jc w:val="both"/>
              <w:rPr>
                <w:rFonts w:asciiTheme="minorHAnsi" w:hAnsiTheme="minorHAnsi" w:cs="Arial"/>
                <w:szCs w:val="22"/>
              </w:rPr>
            </w:pPr>
          </w:p>
        </w:tc>
      </w:tr>
    </w:tbl>
    <w:p w:rsidR="00370DF8" w:rsidRDefault="00370DF8"/>
    <w:tbl>
      <w:tblPr>
        <w:tblStyle w:val="Tablaconcuadrcula"/>
        <w:tblW w:w="5000" w:type="pct"/>
        <w:jc w:val="center"/>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ayout w:type="fixed"/>
        <w:tblLook w:val="04A0" w:firstRow="1" w:lastRow="0" w:firstColumn="1" w:lastColumn="0" w:noHBand="0" w:noVBand="1"/>
      </w:tblPr>
      <w:tblGrid>
        <w:gridCol w:w="9054"/>
      </w:tblGrid>
      <w:tr w:rsidR="00C40CC5" w:rsidRPr="00410A0A" w:rsidTr="009D36F2">
        <w:trPr>
          <w:jc w:val="center"/>
        </w:trPr>
        <w:tc>
          <w:tcPr>
            <w:tcW w:w="5000" w:type="pct"/>
            <w:vAlign w:val="center"/>
          </w:tcPr>
          <w:p w:rsidR="00C40CC5" w:rsidRDefault="00C40CC5" w:rsidP="009D36F2">
            <w:pPr>
              <w:jc w:val="both"/>
              <w:rPr>
                <w:rFonts w:asciiTheme="minorHAnsi" w:hAnsiTheme="minorHAnsi" w:cs="Arial"/>
                <w:szCs w:val="22"/>
              </w:rPr>
            </w:pPr>
          </w:p>
          <w:p w:rsidR="000A3871" w:rsidRPr="000A3871" w:rsidRDefault="000A3871" w:rsidP="009D36F2">
            <w:pPr>
              <w:jc w:val="both"/>
              <w:rPr>
                <w:rFonts w:asciiTheme="minorHAnsi" w:hAnsiTheme="minorHAnsi" w:cs="Arial"/>
                <w:b/>
                <w:sz w:val="26"/>
                <w:szCs w:val="26"/>
              </w:rPr>
            </w:pPr>
            <w:r w:rsidRPr="000A3871">
              <w:rPr>
                <w:rFonts w:ascii="Calibri" w:hAnsi="Calibri"/>
                <w:b/>
                <w:bCs/>
                <w:color w:val="000000"/>
                <w:sz w:val="26"/>
                <w:szCs w:val="26"/>
                <w:lang w:val="es-EC" w:eastAsia="es-EC"/>
              </w:rPr>
              <w:t>C</w:t>
            </w:r>
            <w:r w:rsidRPr="000A3871">
              <w:rPr>
                <w:rFonts w:ascii="Calibri" w:hAnsi="Calibri"/>
                <w:b/>
                <w:bCs/>
                <w:color w:val="000000"/>
                <w:sz w:val="26"/>
                <w:szCs w:val="26"/>
                <w:lang w:val="es-EC" w:eastAsia="es-EC"/>
              </w:rPr>
              <w:t>uenta de distribución secundaria del ingreso</w:t>
            </w:r>
          </w:p>
          <w:p w:rsidR="000A3871" w:rsidRPr="00410A0A" w:rsidRDefault="000A3871" w:rsidP="009D36F2">
            <w:pPr>
              <w:jc w:val="both"/>
              <w:rPr>
                <w:rFonts w:asciiTheme="minorHAnsi" w:hAnsiTheme="minorHAnsi"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610"/>
              <w:gridCol w:w="6229"/>
            </w:tblGrid>
            <w:tr w:rsidR="00C40CC5" w:rsidRPr="004574D8" w:rsidTr="009D36F2">
              <w:trPr>
                <w:trHeight w:hRule="exact" w:val="1050"/>
                <w:tblHeader/>
              </w:trPr>
              <w:tc>
                <w:tcPr>
                  <w:tcW w:w="560" w:type="pct"/>
                  <w:shd w:val="clear" w:color="auto" w:fill="DBE5F1" w:themeFill="accent1" w:themeFillTint="33"/>
                  <w:vAlign w:val="center"/>
                </w:tcPr>
                <w:p w:rsidR="00C40CC5" w:rsidRPr="004574D8" w:rsidRDefault="00C40CC5" w:rsidP="009D36F2">
                  <w:pPr>
                    <w:spacing w:before="120" w:after="120"/>
                    <w:jc w:val="center"/>
                    <w:rPr>
                      <w:rFonts w:asciiTheme="minorHAnsi" w:hAnsiTheme="minorHAnsi" w:cs="Calibri"/>
                      <w:b/>
                      <w:szCs w:val="22"/>
                      <w:lang w:val="es-EC"/>
                    </w:rPr>
                  </w:pPr>
                  <w:r w:rsidRPr="004574D8">
                    <w:rPr>
                      <w:rFonts w:asciiTheme="minorHAnsi" w:hAnsiTheme="minorHAnsi" w:cs="Calibri"/>
                      <w:b/>
                      <w:sz w:val="22"/>
                      <w:szCs w:val="22"/>
                      <w:lang w:val="es-EC"/>
                    </w:rPr>
                    <w:t>Código SCN 2008</w:t>
                  </w:r>
                </w:p>
              </w:tc>
              <w:tc>
                <w:tcPr>
                  <w:tcW w:w="912" w:type="pct"/>
                  <w:shd w:val="clear" w:color="auto" w:fill="DBE5F1" w:themeFill="accent1" w:themeFillTint="33"/>
                  <w:vAlign w:val="center"/>
                </w:tcPr>
                <w:p w:rsidR="00C40CC5" w:rsidRPr="004574D8" w:rsidRDefault="00C40CC5" w:rsidP="009D36F2">
                  <w:pPr>
                    <w:spacing w:before="120" w:after="120"/>
                    <w:jc w:val="center"/>
                    <w:rPr>
                      <w:rFonts w:asciiTheme="minorHAnsi" w:hAnsiTheme="minorHAnsi" w:cs="Calibri"/>
                      <w:b/>
                      <w:szCs w:val="22"/>
                      <w:lang w:val="es-EC"/>
                    </w:rPr>
                  </w:pPr>
                  <w:r w:rsidRPr="004574D8">
                    <w:rPr>
                      <w:rFonts w:asciiTheme="minorHAnsi" w:hAnsiTheme="minorHAnsi" w:cs="Calibri"/>
                      <w:b/>
                      <w:sz w:val="22"/>
                      <w:szCs w:val="22"/>
                      <w:lang w:val="es-EC"/>
                    </w:rPr>
                    <w:t>Transacción</w:t>
                  </w:r>
                </w:p>
              </w:tc>
              <w:tc>
                <w:tcPr>
                  <w:tcW w:w="3528" w:type="pct"/>
                  <w:shd w:val="clear" w:color="auto" w:fill="DBE5F1" w:themeFill="accent1" w:themeFillTint="33"/>
                  <w:vAlign w:val="center"/>
                </w:tcPr>
                <w:p w:rsidR="00C40CC5" w:rsidRPr="004574D8" w:rsidRDefault="00C40CC5" w:rsidP="009D36F2">
                  <w:pPr>
                    <w:spacing w:before="120" w:after="120"/>
                    <w:jc w:val="center"/>
                    <w:rPr>
                      <w:rFonts w:asciiTheme="minorHAnsi" w:hAnsiTheme="minorHAnsi" w:cs="Calibri"/>
                      <w:b/>
                      <w:szCs w:val="22"/>
                      <w:lang w:val="es-EC"/>
                    </w:rPr>
                  </w:pPr>
                  <w:r w:rsidRPr="004574D8">
                    <w:rPr>
                      <w:rFonts w:asciiTheme="minorHAnsi" w:hAnsiTheme="minorHAnsi" w:cs="Calibri"/>
                      <w:b/>
                      <w:sz w:val="22"/>
                      <w:szCs w:val="22"/>
                      <w:lang w:val="es-EC"/>
                    </w:rPr>
                    <w:t>Descripción</w:t>
                  </w:r>
                </w:p>
              </w:tc>
            </w:tr>
            <w:tr w:rsidR="00C40CC5" w:rsidRPr="004574D8" w:rsidTr="009D36F2">
              <w:trPr>
                <w:trHeight w:val="1000"/>
              </w:trPr>
              <w:tc>
                <w:tcPr>
                  <w:tcW w:w="560" w:type="pct"/>
                </w:tcPr>
                <w:p w:rsidR="00C40CC5" w:rsidRPr="004574D8" w:rsidRDefault="00C40CC5" w:rsidP="009D36F2">
                  <w:pPr>
                    <w:spacing w:before="120" w:after="120"/>
                    <w:rPr>
                      <w:rFonts w:asciiTheme="minorHAnsi" w:hAnsiTheme="minorHAnsi" w:cs="Calibri"/>
                      <w:b/>
                      <w:szCs w:val="22"/>
                      <w:lang w:val="es-EC"/>
                    </w:rPr>
                  </w:pPr>
                  <w:r w:rsidRPr="004574D8">
                    <w:rPr>
                      <w:rFonts w:asciiTheme="minorHAnsi" w:eastAsiaTheme="minorHAnsi" w:hAnsiTheme="minorHAnsi" w:cs="Arial"/>
                      <w:b/>
                      <w:bCs/>
                      <w:color w:val="000000"/>
                      <w:sz w:val="22"/>
                      <w:szCs w:val="22"/>
                      <w:lang w:val="es-EC"/>
                    </w:rPr>
                    <w:t>B.5b</w:t>
                  </w:r>
                </w:p>
              </w:tc>
              <w:tc>
                <w:tcPr>
                  <w:tcW w:w="912" w:type="pct"/>
                </w:tcPr>
                <w:p w:rsidR="00C40CC5" w:rsidRPr="004574D8" w:rsidRDefault="00C40CC5" w:rsidP="009D36F2">
                  <w:pPr>
                    <w:spacing w:before="120" w:after="120"/>
                    <w:rPr>
                      <w:rFonts w:asciiTheme="minorHAnsi" w:hAnsiTheme="minorHAnsi" w:cs="Calibri"/>
                      <w:b/>
                      <w:bCs/>
                      <w:color w:val="000000"/>
                      <w:szCs w:val="22"/>
                      <w:lang w:val="es-EC" w:eastAsia="es-EC"/>
                    </w:rPr>
                  </w:pPr>
                  <w:r w:rsidRPr="004574D8">
                    <w:rPr>
                      <w:rFonts w:asciiTheme="minorHAnsi" w:eastAsiaTheme="minorHAnsi" w:hAnsiTheme="minorHAnsi" w:cs="Arial"/>
                      <w:b/>
                      <w:bCs/>
                      <w:color w:val="000000"/>
                      <w:sz w:val="22"/>
                      <w:szCs w:val="22"/>
                      <w:lang w:val="es-EC"/>
                    </w:rPr>
                    <w:t>Ingreso nacional bruto</w:t>
                  </w:r>
                </w:p>
              </w:tc>
              <w:tc>
                <w:tcPr>
                  <w:tcW w:w="3528" w:type="pct"/>
                  <w:shd w:val="clear" w:color="auto" w:fill="FFFFFF" w:themeFill="background1"/>
                </w:tcPr>
                <w:p w:rsidR="00C40CC5" w:rsidRPr="00324EDD" w:rsidRDefault="00C40CC5" w:rsidP="009D36F2">
                  <w:pPr>
                    <w:spacing w:before="120" w:after="120"/>
                    <w:jc w:val="both"/>
                    <w:rPr>
                      <w:rFonts w:asciiTheme="minorHAnsi" w:hAnsiTheme="minorHAnsi"/>
                      <w:szCs w:val="22"/>
                    </w:rPr>
                  </w:pPr>
                  <w:r w:rsidRPr="00324EDD">
                    <w:rPr>
                      <w:rFonts w:asciiTheme="minorHAnsi" w:hAnsiTheme="minorHAnsi"/>
                      <w:sz w:val="22"/>
                      <w:szCs w:val="22"/>
                    </w:rPr>
                    <w:t>El ingreso nacional bruto o neto puede calcularse mediante:</w:t>
                  </w:r>
                </w:p>
                <w:p w:rsidR="00C40CC5" w:rsidRDefault="00C40CC5" w:rsidP="00C40CC5">
                  <w:pPr>
                    <w:pStyle w:val="Prrafodelista"/>
                    <w:numPr>
                      <w:ilvl w:val="0"/>
                      <w:numId w:val="1"/>
                    </w:numPr>
                    <w:spacing w:before="120" w:after="120"/>
                    <w:ind w:left="325" w:hanging="283"/>
                    <w:jc w:val="both"/>
                    <w:rPr>
                      <w:rFonts w:asciiTheme="minorHAnsi" w:hAnsiTheme="minorHAnsi"/>
                      <w:szCs w:val="22"/>
                    </w:rPr>
                  </w:pPr>
                  <w:r w:rsidRPr="00324EDD">
                    <w:rPr>
                      <w:rFonts w:asciiTheme="minorHAnsi" w:hAnsiTheme="minorHAnsi"/>
                      <w:sz w:val="22"/>
                      <w:szCs w:val="22"/>
                    </w:rPr>
                    <w:t>Sumando total las transferencias corrientes en dinero o en especie a recibir por las unidades institucionales residentes de las unidades no residentes.</w:t>
                  </w:r>
                </w:p>
                <w:p w:rsidR="00C40CC5" w:rsidRPr="00774806" w:rsidRDefault="00C40CC5" w:rsidP="00C40CC5">
                  <w:pPr>
                    <w:pStyle w:val="Prrafodelista"/>
                    <w:numPr>
                      <w:ilvl w:val="0"/>
                      <w:numId w:val="1"/>
                    </w:numPr>
                    <w:spacing w:before="120" w:after="120"/>
                    <w:ind w:left="325" w:hanging="283"/>
                    <w:jc w:val="both"/>
                    <w:rPr>
                      <w:rFonts w:asciiTheme="minorHAnsi" w:hAnsiTheme="minorHAnsi"/>
                      <w:szCs w:val="22"/>
                    </w:rPr>
                  </w:pPr>
                  <w:r w:rsidRPr="00774806">
                    <w:rPr>
                      <w:rFonts w:asciiTheme="minorHAnsi" w:hAnsiTheme="minorHAnsi"/>
                      <w:sz w:val="22"/>
                      <w:szCs w:val="22"/>
                    </w:rPr>
                    <w:t>Restando todas las trasferencia corrientes en dinero o en especie a pagar por la unidades institucionales residentes a las unidades no residentes.</w:t>
                  </w:r>
                </w:p>
              </w:tc>
            </w:tr>
            <w:tr w:rsidR="00C40CC5" w:rsidRPr="004574D8" w:rsidTr="009D36F2">
              <w:trPr>
                <w:trHeight w:val="156"/>
              </w:trPr>
              <w:tc>
                <w:tcPr>
                  <w:tcW w:w="560" w:type="pct"/>
                </w:tcPr>
                <w:p w:rsidR="00C40CC5" w:rsidRPr="004574D8" w:rsidRDefault="00C40CC5" w:rsidP="009D36F2">
                  <w:pPr>
                    <w:spacing w:before="120" w:after="120"/>
                    <w:rPr>
                      <w:rFonts w:asciiTheme="minorHAnsi" w:hAnsiTheme="minorHAnsi" w:cs="Calibri"/>
                      <w:b/>
                      <w:szCs w:val="22"/>
                      <w:lang w:val="es-EC"/>
                    </w:rPr>
                  </w:pPr>
                  <w:r w:rsidRPr="004574D8">
                    <w:rPr>
                      <w:rFonts w:asciiTheme="minorHAnsi" w:eastAsiaTheme="minorHAnsi" w:hAnsiTheme="minorHAnsi" w:cs="Arial"/>
                      <w:b/>
                      <w:bCs/>
                      <w:color w:val="000000"/>
                      <w:sz w:val="22"/>
                      <w:szCs w:val="22"/>
                      <w:lang w:val="es-EC"/>
                    </w:rPr>
                    <w:t>B.5n</w:t>
                  </w:r>
                </w:p>
              </w:tc>
              <w:tc>
                <w:tcPr>
                  <w:tcW w:w="912" w:type="pct"/>
                </w:tcPr>
                <w:p w:rsidR="00C40CC5" w:rsidRPr="004574D8" w:rsidRDefault="00C40CC5" w:rsidP="009D36F2">
                  <w:pPr>
                    <w:spacing w:before="120" w:after="120"/>
                    <w:rPr>
                      <w:rFonts w:asciiTheme="minorHAnsi" w:hAnsiTheme="minorHAnsi" w:cs="Calibri"/>
                      <w:b/>
                      <w:bCs/>
                      <w:color w:val="000000"/>
                      <w:szCs w:val="22"/>
                      <w:lang w:val="es-EC" w:eastAsia="es-EC"/>
                    </w:rPr>
                  </w:pPr>
                  <w:r w:rsidRPr="004574D8">
                    <w:rPr>
                      <w:rFonts w:asciiTheme="minorHAnsi" w:eastAsiaTheme="minorHAnsi" w:hAnsiTheme="minorHAnsi" w:cs="Arial"/>
                      <w:b/>
                      <w:bCs/>
                      <w:color w:val="000000"/>
                      <w:sz w:val="22"/>
                      <w:szCs w:val="22"/>
                      <w:lang w:val="es-EC"/>
                    </w:rPr>
                    <w:t>Ingreso nacional neto</w:t>
                  </w:r>
                </w:p>
              </w:tc>
              <w:tc>
                <w:tcPr>
                  <w:tcW w:w="3528" w:type="pct"/>
                  <w:shd w:val="clear" w:color="auto" w:fill="FFFFFF" w:themeFill="background1"/>
                </w:tcPr>
                <w:p w:rsidR="00C40CC5" w:rsidRPr="00324EDD" w:rsidRDefault="00C40CC5" w:rsidP="009D36F2">
                  <w:pPr>
                    <w:spacing w:before="120" w:after="120"/>
                    <w:jc w:val="both"/>
                    <w:rPr>
                      <w:rFonts w:asciiTheme="minorHAnsi" w:hAnsiTheme="minorHAnsi"/>
                      <w:szCs w:val="22"/>
                    </w:rPr>
                  </w:pPr>
                  <w:r w:rsidRPr="00324EDD">
                    <w:rPr>
                      <w:rFonts w:asciiTheme="minorHAnsi" w:hAnsiTheme="minorHAnsi"/>
                      <w:sz w:val="22"/>
                      <w:szCs w:val="22"/>
                    </w:rPr>
                    <w:t>El ingreso nacional bruto o neto puede calcularse mediante:</w:t>
                  </w:r>
                </w:p>
                <w:p w:rsidR="00C40CC5" w:rsidRDefault="00C40CC5" w:rsidP="00C40CC5">
                  <w:pPr>
                    <w:pStyle w:val="Prrafodelista"/>
                    <w:numPr>
                      <w:ilvl w:val="0"/>
                      <w:numId w:val="1"/>
                    </w:numPr>
                    <w:spacing w:before="120" w:after="120"/>
                    <w:ind w:left="325" w:hanging="283"/>
                    <w:jc w:val="both"/>
                    <w:rPr>
                      <w:rFonts w:asciiTheme="minorHAnsi" w:hAnsiTheme="minorHAnsi"/>
                      <w:szCs w:val="22"/>
                    </w:rPr>
                  </w:pPr>
                  <w:r w:rsidRPr="00324EDD">
                    <w:rPr>
                      <w:rFonts w:asciiTheme="minorHAnsi" w:hAnsiTheme="minorHAnsi"/>
                      <w:sz w:val="22"/>
                      <w:szCs w:val="22"/>
                    </w:rPr>
                    <w:t>Sumando total las transferencias corrientes en dinero o en especie a recibir por las unidades institucionales residentes de las unidades no residentes.</w:t>
                  </w:r>
                </w:p>
                <w:p w:rsidR="00C40CC5" w:rsidRPr="00774806" w:rsidRDefault="00C40CC5" w:rsidP="00C40CC5">
                  <w:pPr>
                    <w:pStyle w:val="Prrafodelista"/>
                    <w:numPr>
                      <w:ilvl w:val="0"/>
                      <w:numId w:val="1"/>
                    </w:numPr>
                    <w:spacing w:before="120" w:after="120"/>
                    <w:ind w:left="325" w:hanging="283"/>
                    <w:jc w:val="both"/>
                    <w:rPr>
                      <w:rFonts w:asciiTheme="minorHAnsi" w:hAnsiTheme="minorHAnsi"/>
                      <w:szCs w:val="22"/>
                    </w:rPr>
                  </w:pPr>
                  <w:r w:rsidRPr="00774806">
                    <w:rPr>
                      <w:rFonts w:asciiTheme="minorHAnsi" w:hAnsiTheme="minorHAnsi"/>
                      <w:sz w:val="22"/>
                      <w:szCs w:val="22"/>
                    </w:rPr>
                    <w:t>Restando todas las trasferencia corrientes en dinero o en especie a pagar por la unidades institucionales residentes a las unidades no residentes.</w:t>
                  </w:r>
                </w:p>
              </w:tc>
            </w:tr>
            <w:tr w:rsidR="00C40CC5" w:rsidRPr="004574D8" w:rsidTr="009D36F2">
              <w:trPr>
                <w:trHeight w:val="156"/>
              </w:trPr>
              <w:tc>
                <w:tcPr>
                  <w:tcW w:w="560" w:type="pct"/>
                </w:tcPr>
                <w:p w:rsidR="00C40CC5" w:rsidRPr="004574D8" w:rsidRDefault="00C40CC5" w:rsidP="009D36F2">
                  <w:pPr>
                    <w:spacing w:before="120" w:after="120"/>
                    <w:rPr>
                      <w:rFonts w:asciiTheme="minorHAnsi" w:hAnsiTheme="minorHAnsi" w:cs="Calibri"/>
                      <w:b/>
                      <w:szCs w:val="22"/>
                    </w:rPr>
                  </w:pPr>
                  <w:r w:rsidRPr="004574D8">
                    <w:rPr>
                      <w:rFonts w:asciiTheme="minorHAnsi" w:hAnsiTheme="minorHAnsi" w:cs="Calibri"/>
                      <w:b/>
                      <w:sz w:val="22"/>
                      <w:szCs w:val="22"/>
                    </w:rPr>
                    <w:lastRenderedPageBreak/>
                    <w:t>D.5</w:t>
                  </w:r>
                </w:p>
              </w:tc>
              <w:tc>
                <w:tcPr>
                  <w:tcW w:w="912" w:type="pct"/>
                </w:tcPr>
                <w:p w:rsidR="00C40CC5" w:rsidRPr="004574D8" w:rsidRDefault="00C40CC5" w:rsidP="009D36F2">
                  <w:pPr>
                    <w:spacing w:before="120" w:after="120"/>
                    <w:rPr>
                      <w:rFonts w:asciiTheme="minorHAnsi" w:hAnsiTheme="minorHAnsi" w:cs="Calibri"/>
                      <w:b/>
                      <w:szCs w:val="22"/>
                    </w:rPr>
                  </w:pPr>
                  <w:r w:rsidRPr="004574D8">
                    <w:rPr>
                      <w:rFonts w:asciiTheme="minorHAnsi" w:hAnsiTheme="minorHAnsi" w:cs="Calibri"/>
                      <w:b/>
                      <w:sz w:val="22"/>
                      <w:szCs w:val="22"/>
                    </w:rPr>
                    <w:t>Impuestos corrientes sobre el ingreso, riqueza, etc.</w:t>
                  </w:r>
                </w:p>
              </w:tc>
              <w:tc>
                <w:tcPr>
                  <w:tcW w:w="3528" w:type="pct"/>
                </w:tcPr>
                <w:p w:rsidR="00C40CC5" w:rsidRPr="004574D8" w:rsidRDefault="00C40CC5" w:rsidP="009D36F2">
                  <w:pPr>
                    <w:spacing w:before="120" w:after="120"/>
                    <w:jc w:val="both"/>
                    <w:rPr>
                      <w:rFonts w:asciiTheme="minorHAnsi" w:eastAsiaTheme="minorHAnsi" w:hAnsiTheme="minorHAnsi" w:cs="Arial"/>
                      <w:b/>
                      <w:bCs/>
                      <w:color w:val="000000"/>
                      <w:szCs w:val="22"/>
                    </w:rPr>
                  </w:pPr>
                  <w:r w:rsidRPr="004574D8">
                    <w:rPr>
                      <w:rFonts w:asciiTheme="minorHAnsi" w:hAnsiTheme="minorHAnsi"/>
                      <w:bCs/>
                      <w:iCs/>
                      <w:sz w:val="22"/>
                      <w:szCs w:val="22"/>
                      <w:lang w:val="es-MX"/>
                    </w:rPr>
                    <w:t>Son, en su mayor parte, impuestos que gravan los ingresos de los hogares o los beneficios de las sociedades o aquellos otros que gravan la riqueza y que se pagan regularmente en cada período fiscal (a diferencia de los impuestos sobre el capital, cuya recaudación no tiene carácter periódico)</w:t>
                  </w:r>
                </w:p>
              </w:tc>
            </w:tr>
            <w:tr w:rsidR="00C40CC5" w:rsidRPr="004574D8" w:rsidTr="009D36F2">
              <w:trPr>
                <w:trHeight w:val="156"/>
              </w:trPr>
              <w:tc>
                <w:tcPr>
                  <w:tcW w:w="560" w:type="pct"/>
                </w:tcPr>
                <w:p w:rsidR="00C40CC5" w:rsidRPr="004574D8" w:rsidRDefault="00C40CC5" w:rsidP="009D36F2">
                  <w:pPr>
                    <w:spacing w:before="120" w:after="120"/>
                    <w:rPr>
                      <w:rFonts w:asciiTheme="minorHAnsi" w:hAnsiTheme="minorHAnsi" w:cs="Calibri"/>
                      <w:b/>
                      <w:szCs w:val="22"/>
                    </w:rPr>
                  </w:pPr>
                  <w:r w:rsidRPr="004574D8">
                    <w:rPr>
                      <w:rFonts w:asciiTheme="minorHAnsi" w:hAnsiTheme="minorHAnsi" w:cs="Calibri"/>
                      <w:b/>
                      <w:sz w:val="22"/>
                      <w:szCs w:val="22"/>
                    </w:rPr>
                    <w:t>D.611</w:t>
                  </w:r>
                </w:p>
              </w:tc>
              <w:tc>
                <w:tcPr>
                  <w:tcW w:w="912" w:type="pct"/>
                </w:tcPr>
                <w:p w:rsidR="00C40CC5" w:rsidRPr="004574D8" w:rsidRDefault="00C40CC5" w:rsidP="009D36F2">
                  <w:pPr>
                    <w:spacing w:before="120" w:after="120"/>
                    <w:rPr>
                      <w:rFonts w:asciiTheme="minorHAnsi" w:hAnsiTheme="minorHAnsi" w:cs="Calibri"/>
                      <w:b/>
                      <w:szCs w:val="22"/>
                    </w:rPr>
                  </w:pPr>
                  <w:r w:rsidRPr="004574D8">
                    <w:rPr>
                      <w:rFonts w:asciiTheme="minorHAnsi" w:hAnsiTheme="minorHAnsi" w:cs="Calibri"/>
                      <w:b/>
                      <w:sz w:val="22"/>
                      <w:szCs w:val="22"/>
                    </w:rPr>
                    <w:t>Contribuciones sociales efectivas de los empleadores</w:t>
                  </w:r>
                </w:p>
              </w:tc>
              <w:tc>
                <w:tcPr>
                  <w:tcW w:w="3528" w:type="pct"/>
                </w:tcPr>
                <w:p w:rsidR="00C40CC5" w:rsidRPr="004574D8" w:rsidRDefault="00C40CC5" w:rsidP="009D36F2">
                  <w:pPr>
                    <w:spacing w:before="120" w:after="120"/>
                    <w:jc w:val="both"/>
                    <w:rPr>
                      <w:rFonts w:asciiTheme="minorHAnsi" w:hAnsiTheme="minorHAnsi"/>
                      <w:b/>
                      <w:szCs w:val="22"/>
                    </w:rPr>
                  </w:pPr>
                  <w:r w:rsidRPr="004574D8">
                    <w:rPr>
                      <w:rFonts w:asciiTheme="minorHAnsi" w:eastAsiaTheme="minorHAnsi" w:hAnsiTheme="minorHAnsi" w:cs="Arial"/>
                      <w:bCs/>
                      <w:color w:val="000000"/>
                      <w:sz w:val="22"/>
                      <w:szCs w:val="22"/>
                      <w:lang w:val="es-ES_tradnl"/>
                    </w:rPr>
                    <w:t>Son los pagos de los empleadores, en beneficio de sus asalariados, a los fondos de seguridad social.</w:t>
                  </w:r>
                </w:p>
              </w:tc>
            </w:tr>
            <w:tr w:rsidR="00C40CC5" w:rsidRPr="004574D8" w:rsidTr="009D36F2">
              <w:trPr>
                <w:trHeight w:val="156"/>
              </w:trPr>
              <w:tc>
                <w:tcPr>
                  <w:tcW w:w="560" w:type="pct"/>
                </w:tcPr>
                <w:p w:rsidR="00C40CC5" w:rsidRPr="004574D8" w:rsidRDefault="00C40CC5" w:rsidP="009D36F2">
                  <w:pPr>
                    <w:spacing w:before="120" w:after="120"/>
                    <w:rPr>
                      <w:rFonts w:asciiTheme="minorHAnsi" w:hAnsiTheme="minorHAnsi" w:cs="Calibri"/>
                      <w:b/>
                      <w:szCs w:val="22"/>
                    </w:rPr>
                  </w:pPr>
                  <w:r w:rsidRPr="004574D8">
                    <w:rPr>
                      <w:rFonts w:asciiTheme="minorHAnsi" w:hAnsiTheme="minorHAnsi" w:cs="Calibri"/>
                      <w:b/>
                      <w:sz w:val="22"/>
                      <w:szCs w:val="22"/>
                    </w:rPr>
                    <w:t>D.612</w:t>
                  </w:r>
                </w:p>
              </w:tc>
              <w:tc>
                <w:tcPr>
                  <w:tcW w:w="912" w:type="pct"/>
                </w:tcPr>
                <w:p w:rsidR="00C40CC5" w:rsidRPr="004574D8" w:rsidRDefault="00C40CC5" w:rsidP="009D36F2">
                  <w:pPr>
                    <w:spacing w:before="120" w:after="120"/>
                    <w:rPr>
                      <w:rFonts w:asciiTheme="minorHAnsi" w:hAnsiTheme="minorHAnsi" w:cs="Calibri"/>
                      <w:b/>
                      <w:szCs w:val="22"/>
                    </w:rPr>
                  </w:pPr>
                  <w:r w:rsidRPr="004574D8">
                    <w:rPr>
                      <w:rFonts w:asciiTheme="minorHAnsi" w:hAnsiTheme="minorHAnsi" w:cs="Calibri"/>
                      <w:b/>
                      <w:sz w:val="22"/>
                      <w:szCs w:val="22"/>
                    </w:rPr>
                    <w:t>Contribuciones sociales imputadas de los empleadores</w:t>
                  </w:r>
                </w:p>
              </w:tc>
              <w:tc>
                <w:tcPr>
                  <w:tcW w:w="3528" w:type="pct"/>
                </w:tcPr>
                <w:p w:rsidR="00C40CC5" w:rsidRPr="004574D8" w:rsidRDefault="00C40CC5" w:rsidP="009D36F2">
                  <w:pPr>
                    <w:spacing w:before="120" w:after="120"/>
                    <w:jc w:val="both"/>
                    <w:rPr>
                      <w:rFonts w:asciiTheme="minorHAnsi" w:hAnsiTheme="minorHAnsi" w:cs="Arial"/>
                      <w:szCs w:val="22"/>
                      <w:lang w:val="es-ES_tradnl"/>
                    </w:rPr>
                  </w:pPr>
                  <w:r w:rsidRPr="004574D8">
                    <w:rPr>
                      <w:rFonts w:asciiTheme="minorHAnsi" w:hAnsiTheme="minorHAnsi" w:cs="Arial"/>
                      <w:sz w:val="22"/>
                      <w:szCs w:val="22"/>
                      <w:lang w:val="es-ES_tradnl"/>
                    </w:rPr>
                    <w:t>Son los valores de las prestaciones sociales proporcionadas por los empleadores directamente a sus asalariados, con cargo a sus propios recursos.</w:t>
                  </w:r>
                </w:p>
                <w:p w:rsidR="00C40CC5" w:rsidRPr="004574D8" w:rsidRDefault="00C40CC5" w:rsidP="009D36F2">
                  <w:pPr>
                    <w:spacing w:before="120" w:after="120" w:line="256" w:lineRule="auto"/>
                    <w:jc w:val="both"/>
                    <w:rPr>
                      <w:rFonts w:asciiTheme="minorHAnsi" w:hAnsiTheme="minorHAnsi" w:cs="Calibri"/>
                      <w:szCs w:val="22"/>
                      <w:lang w:val="es-ES_tradnl"/>
                    </w:rPr>
                  </w:pPr>
                </w:p>
              </w:tc>
            </w:tr>
            <w:tr w:rsidR="00C40CC5" w:rsidRPr="004574D8" w:rsidTr="009D36F2">
              <w:trPr>
                <w:trHeight w:val="156"/>
              </w:trPr>
              <w:tc>
                <w:tcPr>
                  <w:tcW w:w="560" w:type="pct"/>
                </w:tcPr>
                <w:p w:rsidR="00C40CC5" w:rsidRPr="004574D8" w:rsidRDefault="00C40CC5" w:rsidP="009D36F2">
                  <w:pPr>
                    <w:spacing w:before="120" w:after="120"/>
                    <w:rPr>
                      <w:rFonts w:asciiTheme="minorHAnsi" w:hAnsiTheme="minorHAnsi" w:cs="Calibri"/>
                      <w:b/>
                      <w:szCs w:val="22"/>
                    </w:rPr>
                  </w:pPr>
                  <w:r w:rsidRPr="004574D8">
                    <w:rPr>
                      <w:rFonts w:asciiTheme="minorHAnsi" w:hAnsiTheme="minorHAnsi" w:cs="Calibri"/>
                      <w:b/>
                      <w:sz w:val="22"/>
                      <w:szCs w:val="22"/>
                    </w:rPr>
                    <w:t>D.613</w:t>
                  </w:r>
                </w:p>
              </w:tc>
              <w:tc>
                <w:tcPr>
                  <w:tcW w:w="912" w:type="pct"/>
                </w:tcPr>
                <w:p w:rsidR="00C40CC5" w:rsidRPr="004574D8" w:rsidRDefault="00C40CC5" w:rsidP="009D36F2">
                  <w:pPr>
                    <w:spacing w:before="120" w:after="120"/>
                    <w:rPr>
                      <w:rFonts w:asciiTheme="minorHAnsi" w:hAnsiTheme="minorHAnsi" w:cs="Calibri"/>
                      <w:b/>
                      <w:szCs w:val="22"/>
                    </w:rPr>
                  </w:pPr>
                  <w:r w:rsidRPr="004574D8">
                    <w:rPr>
                      <w:rFonts w:asciiTheme="minorHAnsi" w:hAnsiTheme="minorHAnsi" w:cs="Calibri"/>
                      <w:b/>
                      <w:sz w:val="22"/>
                      <w:szCs w:val="22"/>
                    </w:rPr>
                    <w:t>Contribuciones sociales efectivas de los hogares</w:t>
                  </w:r>
                </w:p>
              </w:tc>
              <w:tc>
                <w:tcPr>
                  <w:tcW w:w="3528" w:type="pct"/>
                  <w:shd w:val="clear" w:color="auto" w:fill="auto"/>
                </w:tcPr>
                <w:p w:rsidR="00C40CC5" w:rsidRPr="007F57B0" w:rsidRDefault="00C40CC5" w:rsidP="009D36F2">
                  <w:pPr>
                    <w:autoSpaceDE w:val="0"/>
                    <w:autoSpaceDN w:val="0"/>
                    <w:adjustRightInd w:val="0"/>
                    <w:rPr>
                      <w:rFonts w:asciiTheme="minorHAnsi" w:hAnsiTheme="minorHAnsi" w:cs="Arial"/>
                      <w:szCs w:val="22"/>
                      <w:lang w:val="es-ES_tradnl"/>
                    </w:rPr>
                  </w:pPr>
                  <w:r>
                    <w:rPr>
                      <w:rFonts w:asciiTheme="minorHAnsi" w:hAnsiTheme="minorHAnsi" w:cs="Arial"/>
                      <w:sz w:val="22"/>
                      <w:szCs w:val="22"/>
                    </w:rPr>
                    <w:t>S</w:t>
                  </w:r>
                  <w:proofErr w:type="spellStart"/>
                  <w:r w:rsidRPr="00E903F1">
                    <w:rPr>
                      <w:rFonts w:asciiTheme="minorHAnsi" w:hAnsiTheme="minorHAnsi" w:cs="Arial"/>
                      <w:sz w:val="22"/>
                      <w:szCs w:val="22"/>
                      <w:lang w:val="es-ES_tradnl"/>
                    </w:rPr>
                    <w:t>on</w:t>
                  </w:r>
                  <w:proofErr w:type="spellEnd"/>
                  <w:r w:rsidRPr="00E903F1">
                    <w:rPr>
                      <w:rFonts w:asciiTheme="minorHAnsi" w:hAnsiTheme="minorHAnsi" w:cs="Arial"/>
                      <w:sz w:val="22"/>
                      <w:szCs w:val="22"/>
                      <w:lang w:val="es-ES_tradnl"/>
                    </w:rPr>
                    <w:t xml:space="preserve"> las contribuciones sociales por pagar a los sistemas d</w:t>
                  </w:r>
                  <w:r>
                    <w:rPr>
                      <w:rFonts w:asciiTheme="minorHAnsi" w:hAnsiTheme="minorHAnsi" w:cs="Arial"/>
                      <w:sz w:val="22"/>
                      <w:szCs w:val="22"/>
                      <w:lang w:val="es-ES_tradnl"/>
                    </w:rPr>
                    <w:t xml:space="preserve">e seguridad social, que aportan </w:t>
                  </w:r>
                  <w:r w:rsidRPr="00E903F1">
                    <w:rPr>
                      <w:rFonts w:asciiTheme="minorHAnsi" w:hAnsiTheme="minorHAnsi" w:cs="Arial"/>
                      <w:sz w:val="22"/>
                      <w:szCs w:val="22"/>
                      <w:lang w:val="es-ES_tradnl"/>
                    </w:rPr>
                    <w:t>a nombre propio, los trabajadores asalariados o autónomos o las personas desempleadas</w:t>
                  </w:r>
                </w:p>
              </w:tc>
            </w:tr>
            <w:tr w:rsidR="00C40CC5" w:rsidRPr="004574D8" w:rsidTr="009D36F2">
              <w:trPr>
                <w:trHeight w:val="156"/>
              </w:trPr>
              <w:tc>
                <w:tcPr>
                  <w:tcW w:w="560"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D.614</w:t>
                  </w:r>
                </w:p>
              </w:tc>
              <w:tc>
                <w:tcPr>
                  <w:tcW w:w="912"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Contribuciones sociales suplementarias de los hogares</w:t>
                  </w:r>
                </w:p>
              </w:tc>
              <w:tc>
                <w:tcPr>
                  <w:tcW w:w="3528" w:type="pct"/>
                  <w:shd w:val="clear" w:color="auto" w:fill="auto"/>
                </w:tcPr>
                <w:p w:rsidR="00C40CC5" w:rsidRPr="007F57B0" w:rsidRDefault="00C40CC5" w:rsidP="009D36F2">
                  <w:pPr>
                    <w:autoSpaceDE w:val="0"/>
                    <w:autoSpaceDN w:val="0"/>
                    <w:adjustRightInd w:val="0"/>
                    <w:rPr>
                      <w:rFonts w:asciiTheme="minorHAnsi" w:hAnsiTheme="minorHAnsi" w:cs="Arial"/>
                      <w:szCs w:val="22"/>
                      <w:lang w:val="es-ES_tradnl"/>
                    </w:rPr>
                  </w:pPr>
                  <w:r>
                    <w:rPr>
                      <w:rFonts w:asciiTheme="minorHAnsi" w:hAnsiTheme="minorHAnsi" w:cs="Arial"/>
                      <w:sz w:val="22"/>
                      <w:szCs w:val="22"/>
                    </w:rPr>
                    <w:t>C</w:t>
                  </w:r>
                  <w:proofErr w:type="spellStart"/>
                  <w:r>
                    <w:rPr>
                      <w:rFonts w:asciiTheme="minorHAnsi" w:hAnsiTheme="minorHAnsi" w:cs="Arial"/>
                      <w:sz w:val="22"/>
                      <w:szCs w:val="22"/>
                      <w:lang w:val="es-ES_tradnl"/>
                    </w:rPr>
                    <w:t>onsiste</w:t>
                  </w:r>
                  <w:proofErr w:type="spellEnd"/>
                  <w:r w:rsidRPr="007F57B0">
                    <w:rPr>
                      <w:rFonts w:asciiTheme="minorHAnsi" w:hAnsiTheme="minorHAnsi" w:cs="Arial"/>
                      <w:sz w:val="22"/>
                      <w:szCs w:val="22"/>
                      <w:lang w:val="es-ES_tradnl"/>
                    </w:rPr>
                    <w:t xml:space="preserve"> en las rentas de la propiedad obtenidas du</w:t>
                  </w:r>
                  <w:r>
                    <w:rPr>
                      <w:rFonts w:asciiTheme="minorHAnsi" w:hAnsiTheme="minorHAnsi" w:cs="Arial"/>
                      <w:sz w:val="22"/>
                      <w:szCs w:val="22"/>
                      <w:lang w:val="es-ES_tradnl"/>
                    </w:rPr>
                    <w:t xml:space="preserve">rante el período contable sobre </w:t>
                  </w:r>
                  <w:r w:rsidRPr="007F57B0">
                    <w:rPr>
                      <w:rFonts w:asciiTheme="minorHAnsi" w:hAnsiTheme="minorHAnsi" w:cs="Arial"/>
                      <w:sz w:val="22"/>
                      <w:szCs w:val="22"/>
                      <w:lang w:val="es-ES_tradnl"/>
                    </w:rPr>
                    <w:t>el stock de derechos pensionarios y no pensionarios</w:t>
                  </w:r>
                </w:p>
              </w:tc>
            </w:tr>
            <w:tr w:rsidR="00C40CC5" w:rsidRPr="004574D8" w:rsidTr="009D36F2">
              <w:trPr>
                <w:trHeight w:val="156"/>
              </w:trPr>
              <w:tc>
                <w:tcPr>
                  <w:tcW w:w="560"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D.623</w:t>
                  </w:r>
                </w:p>
              </w:tc>
              <w:tc>
                <w:tcPr>
                  <w:tcW w:w="912"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Prestaciones de asistencia social en dinero</w:t>
                  </w:r>
                </w:p>
              </w:tc>
              <w:tc>
                <w:tcPr>
                  <w:tcW w:w="3528" w:type="pct"/>
                </w:tcPr>
                <w:p w:rsidR="00C40CC5" w:rsidRPr="004574D8" w:rsidRDefault="00C40CC5" w:rsidP="009D36F2">
                  <w:pPr>
                    <w:spacing w:before="120" w:after="120"/>
                    <w:jc w:val="both"/>
                    <w:rPr>
                      <w:rFonts w:asciiTheme="minorHAnsi" w:hAnsiTheme="minorHAnsi"/>
                      <w:b/>
                      <w:szCs w:val="22"/>
                    </w:rPr>
                  </w:pPr>
                  <w:r w:rsidRPr="004574D8">
                    <w:rPr>
                      <w:rFonts w:asciiTheme="minorHAnsi" w:eastAsiaTheme="minorHAnsi" w:hAnsiTheme="minorHAnsi" w:cs="Arial"/>
                      <w:bCs/>
                      <w:color w:val="000000"/>
                      <w:sz w:val="22"/>
                      <w:szCs w:val="22"/>
                    </w:rPr>
                    <w:t>Las prestaciones sociales son transferencias corrientes que reciben  los hogares  para que puedan atender a las necesidades derivadas  de ciertos sucesos o circunstancias, por ejemplo: la enfermedad, el desempleo, la jubilación, la vivienda, la educación o circunstancias familiares.</w:t>
                  </w:r>
                </w:p>
              </w:tc>
            </w:tr>
            <w:tr w:rsidR="00C40CC5" w:rsidRPr="004574D8" w:rsidTr="009D36F2">
              <w:trPr>
                <w:trHeight w:val="156"/>
              </w:trPr>
              <w:tc>
                <w:tcPr>
                  <w:tcW w:w="560" w:type="pct"/>
                </w:tcPr>
                <w:p w:rsidR="00C40CC5" w:rsidRPr="004574D8" w:rsidRDefault="00C40CC5" w:rsidP="009D36F2">
                  <w:pPr>
                    <w:spacing w:before="120" w:after="120"/>
                    <w:rPr>
                      <w:rFonts w:asciiTheme="minorHAnsi" w:hAnsiTheme="minorHAnsi" w:cs="Calibri"/>
                      <w:b/>
                      <w:bCs/>
                      <w:szCs w:val="22"/>
                    </w:rPr>
                  </w:pPr>
                  <w:r w:rsidRPr="004574D8">
                    <w:rPr>
                      <w:rFonts w:asciiTheme="minorHAnsi" w:hAnsiTheme="minorHAnsi" w:cs="Calibri"/>
                      <w:b/>
                      <w:bCs/>
                      <w:sz w:val="22"/>
                      <w:szCs w:val="22"/>
                    </w:rPr>
                    <w:t>D.7</w:t>
                  </w:r>
                </w:p>
              </w:tc>
              <w:tc>
                <w:tcPr>
                  <w:tcW w:w="912" w:type="pct"/>
                </w:tcPr>
                <w:p w:rsidR="00C40CC5" w:rsidRPr="004574D8" w:rsidRDefault="00C40CC5" w:rsidP="009D36F2">
                  <w:pPr>
                    <w:spacing w:before="120" w:after="120"/>
                    <w:rPr>
                      <w:rFonts w:asciiTheme="minorHAnsi" w:hAnsiTheme="minorHAnsi" w:cs="Calibri"/>
                      <w:b/>
                      <w:bCs/>
                      <w:szCs w:val="22"/>
                    </w:rPr>
                  </w:pPr>
                  <w:r w:rsidRPr="004574D8">
                    <w:rPr>
                      <w:rFonts w:asciiTheme="minorHAnsi" w:hAnsiTheme="minorHAnsi" w:cs="Calibri"/>
                      <w:b/>
                      <w:bCs/>
                      <w:sz w:val="22"/>
                      <w:szCs w:val="22"/>
                    </w:rPr>
                    <w:t>Otras transferencias corrientes</w:t>
                  </w:r>
                </w:p>
              </w:tc>
              <w:tc>
                <w:tcPr>
                  <w:tcW w:w="3528" w:type="pct"/>
                </w:tcPr>
                <w:p w:rsidR="00C40CC5" w:rsidRPr="004574D8" w:rsidRDefault="00C40CC5" w:rsidP="009D36F2">
                  <w:pPr>
                    <w:widowControl w:val="0"/>
                    <w:autoSpaceDE w:val="0"/>
                    <w:autoSpaceDN w:val="0"/>
                    <w:adjustRightInd w:val="0"/>
                    <w:spacing w:before="120" w:after="120" w:line="276" w:lineRule="auto"/>
                    <w:ind w:right="66"/>
                    <w:jc w:val="both"/>
                    <w:rPr>
                      <w:rFonts w:asciiTheme="minorHAnsi" w:eastAsiaTheme="minorHAnsi" w:hAnsiTheme="minorHAnsi" w:cs="Arial"/>
                      <w:bCs/>
                      <w:color w:val="000000"/>
                      <w:szCs w:val="22"/>
                    </w:rPr>
                  </w:pPr>
                  <w:r w:rsidRPr="004574D8">
                    <w:rPr>
                      <w:rFonts w:asciiTheme="minorHAnsi" w:hAnsiTheme="minorHAnsi"/>
                      <w:bCs/>
                      <w:sz w:val="22"/>
                      <w:szCs w:val="22"/>
                    </w:rPr>
                    <w:t>Incluye a todas las transferencias corrientes entre unidades institucionales residentes, o entre unidades residentes y no residentes, distintas de los impuestos corrientes sobre el ingreso, la riqueza, etc., las contribuciones y prestaciones sociales  y las prestaciones sociales en especie.</w:t>
                  </w:r>
                </w:p>
              </w:tc>
            </w:tr>
            <w:tr w:rsidR="00C40CC5" w:rsidRPr="004574D8" w:rsidTr="009D36F2">
              <w:trPr>
                <w:trHeight w:val="156"/>
              </w:trPr>
              <w:tc>
                <w:tcPr>
                  <w:tcW w:w="560"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D.71</w:t>
                  </w:r>
                </w:p>
              </w:tc>
              <w:tc>
                <w:tcPr>
                  <w:tcW w:w="912"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Primas netas de seguros no de vida</w:t>
                  </w:r>
                </w:p>
              </w:tc>
              <w:tc>
                <w:tcPr>
                  <w:tcW w:w="3528" w:type="pct"/>
                </w:tcPr>
                <w:p w:rsidR="00C40CC5" w:rsidRPr="004574D8" w:rsidRDefault="00C40CC5" w:rsidP="009D36F2">
                  <w:pPr>
                    <w:spacing w:before="120" w:after="120"/>
                    <w:jc w:val="both"/>
                    <w:rPr>
                      <w:rFonts w:asciiTheme="minorHAnsi" w:eastAsiaTheme="minorHAnsi" w:hAnsiTheme="minorHAnsi" w:cs="Arial"/>
                      <w:bCs/>
                      <w:color w:val="000000"/>
                      <w:szCs w:val="22"/>
                    </w:rPr>
                  </w:pPr>
                  <w:r w:rsidRPr="004574D8">
                    <w:rPr>
                      <w:rFonts w:asciiTheme="minorHAnsi" w:hAnsiTheme="minorHAnsi" w:cs="Tahoma"/>
                      <w:iCs/>
                      <w:color w:val="000000"/>
                      <w:position w:val="-1"/>
                      <w:sz w:val="22"/>
                      <w:szCs w:val="22"/>
                    </w:rPr>
                    <w:t xml:space="preserve">Las primas netas de seguros no de vida comprenden tanto las primas efectivas a  pagar por los titulares de las pólizas  para obtener la cobertura del  seguro  durante el período contable (primas ganadas), como las primas suplementarias a pagar con las rentas de la inversión  atribuidas a los titulares de las pólizas </w:t>
                  </w:r>
                  <w:r w:rsidRPr="004574D8">
                    <w:rPr>
                      <w:rFonts w:asciiTheme="minorHAnsi" w:hAnsiTheme="minorHAnsi" w:cs="Tahoma"/>
                      <w:iCs/>
                      <w:color w:val="000000"/>
                      <w:position w:val="-1"/>
                      <w:sz w:val="22"/>
                      <w:szCs w:val="22"/>
                    </w:rPr>
                    <w:lastRenderedPageBreak/>
                    <w:t>menos los cargos por los servicios a pagar a la sociedad de seguros.</w:t>
                  </w:r>
                </w:p>
              </w:tc>
            </w:tr>
            <w:tr w:rsidR="00C40CC5" w:rsidRPr="004574D8" w:rsidTr="009D36F2">
              <w:trPr>
                <w:trHeight w:val="156"/>
              </w:trPr>
              <w:tc>
                <w:tcPr>
                  <w:tcW w:w="560"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lastRenderedPageBreak/>
                    <w:t>D.72</w:t>
                  </w:r>
                </w:p>
              </w:tc>
              <w:tc>
                <w:tcPr>
                  <w:tcW w:w="912"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Indemnizaciones de seguros no de vida</w:t>
                  </w:r>
                </w:p>
              </w:tc>
              <w:tc>
                <w:tcPr>
                  <w:tcW w:w="3528" w:type="pct"/>
                </w:tcPr>
                <w:p w:rsidR="00C40CC5" w:rsidRPr="004574D8" w:rsidRDefault="00C40CC5" w:rsidP="009D36F2">
                  <w:pPr>
                    <w:spacing w:before="120" w:after="120"/>
                    <w:jc w:val="both"/>
                    <w:rPr>
                      <w:rFonts w:asciiTheme="minorHAnsi" w:eastAsiaTheme="minorHAnsi" w:hAnsiTheme="minorHAnsi"/>
                      <w:szCs w:val="22"/>
                      <w:lang w:val="es-EC"/>
                    </w:rPr>
                  </w:pPr>
                  <w:r w:rsidRPr="004574D8">
                    <w:rPr>
                      <w:rFonts w:asciiTheme="minorHAnsi" w:eastAsiaTheme="minorHAnsi" w:hAnsiTheme="minorHAnsi" w:cs="Arial"/>
                      <w:bCs/>
                      <w:color w:val="000000"/>
                      <w:sz w:val="22"/>
                      <w:szCs w:val="22"/>
                    </w:rPr>
                    <w:t>Las indemnizaciones de los seguros no de vida son los montos a pagar por los daños que resulten de eventos cubiertos por las pólizas de seguros no de vida  durante el período contable corriente.</w:t>
                  </w:r>
                </w:p>
              </w:tc>
            </w:tr>
            <w:tr w:rsidR="00C40CC5" w:rsidRPr="004574D8" w:rsidTr="009D36F2">
              <w:trPr>
                <w:trHeight w:val="156"/>
              </w:trPr>
              <w:tc>
                <w:tcPr>
                  <w:tcW w:w="560"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D.73</w:t>
                  </w:r>
                </w:p>
              </w:tc>
              <w:tc>
                <w:tcPr>
                  <w:tcW w:w="912"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Transferencia corriente dentro del gobierno general</w:t>
                  </w:r>
                </w:p>
              </w:tc>
              <w:tc>
                <w:tcPr>
                  <w:tcW w:w="3528" w:type="pct"/>
                </w:tcPr>
                <w:p w:rsidR="00C40CC5" w:rsidRPr="004574D8" w:rsidRDefault="00C40CC5" w:rsidP="009D36F2">
                  <w:pPr>
                    <w:spacing w:before="120" w:after="120"/>
                    <w:jc w:val="both"/>
                    <w:rPr>
                      <w:rFonts w:asciiTheme="minorHAnsi" w:eastAsiaTheme="minorHAnsi" w:hAnsiTheme="minorHAnsi"/>
                      <w:szCs w:val="22"/>
                      <w:lang w:val="es-EC"/>
                    </w:rPr>
                  </w:pPr>
                  <w:r w:rsidRPr="004574D8">
                    <w:rPr>
                      <w:rFonts w:asciiTheme="minorHAnsi" w:hAnsiTheme="minorHAnsi" w:cs="Tahoma"/>
                      <w:iCs/>
                      <w:color w:val="000000"/>
                      <w:position w:val="-1"/>
                      <w:sz w:val="22"/>
                      <w:szCs w:val="22"/>
                      <w:lang w:val="es-EC"/>
                    </w:rPr>
                    <w:t>Esta partida comprende las  transferencias corrientes entre las diferentes unidades gubernamentales. Se incluyen las transferencias corrientes entre los diferentes niveles del gobierno, como las que suelen efectuarse entre las unidades de gobierno central y estatal o local y entre el gobierno general y los fondos de seguridad social. No se incluyen las transferencias de fondos comprometidos para financiar la formación bruta de capital fijo, los cuales se tratan como transferencias de capital.</w:t>
                  </w:r>
                </w:p>
              </w:tc>
            </w:tr>
            <w:tr w:rsidR="00C40CC5" w:rsidRPr="004574D8" w:rsidTr="009D36F2">
              <w:trPr>
                <w:trHeight w:val="156"/>
              </w:trPr>
              <w:tc>
                <w:tcPr>
                  <w:tcW w:w="560"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D.74</w:t>
                  </w:r>
                </w:p>
              </w:tc>
              <w:tc>
                <w:tcPr>
                  <w:tcW w:w="912"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Cooperación internacional corriente</w:t>
                  </w:r>
                </w:p>
              </w:tc>
              <w:tc>
                <w:tcPr>
                  <w:tcW w:w="3528" w:type="pct"/>
                </w:tcPr>
                <w:p w:rsidR="00C40CC5" w:rsidRPr="004574D8" w:rsidRDefault="00C40CC5" w:rsidP="009D36F2">
                  <w:pPr>
                    <w:spacing w:before="120" w:after="120"/>
                    <w:jc w:val="both"/>
                    <w:rPr>
                      <w:rFonts w:asciiTheme="minorHAnsi" w:hAnsiTheme="minorHAnsi"/>
                      <w:b/>
                      <w:szCs w:val="22"/>
                    </w:rPr>
                  </w:pPr>
                  <w:r w:rsidRPr="004574D8">
                    <w:rPr>
                      <w:rFonts w:asciiTheme="minorHAnsi" w:eastAsiaTheme="minorHAnsi" w:hAnsiTheme="minorHAnsi"/>
                      <w:sz w:val="22"/>
                      <w:szCs w:val="22"/>
                      <w:lang w:val="es-EC"/>
                    </w:rPr>
                    <w:t>Esta partida comprende las transferencias corrientes en dinero o en especie  entre los gobiernos de diferentes países o entre los  gobiernos y las organizaciones internacionales.</w:t>
                  </w:r>
                </w:p>
              </w:tc>
            </w:tr>
            <w:tr w:rsidR="00C40CC5" w:rsidRPr="004574D8" w:rsidTr="009D36F2">
              <w:trPr>
                <w:trHeight w:val="156"/>
              </w:trPr>
              <w:tc>
                <w:tcPr>
                  <w:tcW w:w="560"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D.75</w:t>
                  </w:r>
                </w:p>
              </w:tc>
              <w:tc>
                <w:tcPr>
                  <w:tcW w:w="912"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Transferencias corrientes diversas</w:t>
                  </w:r>
                </w:p>
              </w:tc>
              <w:tc>
                <w:tcPr>
                  <w:tcW w:w="3528" w:type="pct"/>
                </w:tcPr>
                <w:p w:rsidR="00C40CC5" w:rsidRPr="004574D8" w:rsidRDefault="00C40CC5" w:rsidP="009D36F2">
                  <w:pPr>
                    <w:spacing w:before="120" w:after="120"/>
                    <w:jc w:val="both"/>
                    <w:rPr>
                      <w:rFonts w:asciiTheme="minorHAnsi" w:hAnsiTheme="minorHAnsi"/>
                      <w:b/>
                      <w:szCs w:val="22"/>
                      <w:lang w:val="es-EC"/>
                    </w:rPr>
                  </w:pPr>
                  <w:r w:rsidRPr="004574D8">
                    <w:rPr>
                      <w:rFonts w:asciiTheme="minorHAnsi" w:eastAsiaTheme="minorHAnsi" w:hAnsiTheme="minorHAnsi"/>
                      <w:sz w:val="22"/>
                      <w:szCs w:val="22"/>
                      <w:lang w:val="es-EC"/>
                    </w:rPr>
                    <w:t>Esta partida comprende las transferencias corrientes distintas de las primas e indemnizaciones relacionadas con los seguros, las transferencias corrientes dentro del gobierno general y la cooperación internacional corriente.</w:t>
                  </w:r>
                </w:p>
              </w:tc>
            </w:tr>
            <w:tr w:rsidR="00C40CC5" w:rsidRPr="004574D8" w:rsidTr="009D36F2">
              <w:trPr>
                <w:trHeight w:val="156"/>
              </w:trPr>
              <w:tc>
                <w:tcPr>
                  <w:tcW w:w="560"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D.751</w:t>
                  </w:r>
                </w:p>
              </w:tc>
              <w:tc>
                <w:tcPr>
                  <w:tcW w:w="912"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Transferencias corrientes a Instituciones sin fines de lucro que sirven a los hogares</w:t>
                  </w:r>
                </w:p>
              </w:tc>
              <w:tc>
                <w:tcPr>
                  <w:tcW w:w="3528" w:type="pct"/>
                </w:tcPr>
                <w:p w:rsidR="00C40CC5" w:rsidRPr="004574D8" w:rsidRDefault="00C40CC5" w:rsidP="009D36F2">
                  <w:pPr>
                    <w:spacing w:before="120" w:after="120"/>
                    <w:jc w:val="both"/>
                    <w:rPr>
                      <w:rFonts w:asciiTheme="minorHAnsi" w:hAnsiTheme="minorHAnsi"/>
                      <w:b/>
                      <w:szCs w:val="22"/>
                    </w:rPr>
                  </w:pPr>
                  <w:r w:rsidRPr="004574D8">
                    <w:rPr>
                      <w:rFonts w:asciiTheme="minorHAnsi" w:eastAsiaTheme="minorHAnsi" w:hAnsiTheme="minorHAnsi"/>
                      <w:sz w:val="22"/>
                      <w:szCs w:val="22"/>
                      <w:lang w:val="es-EC"/>
                    </w:rPr>
                    <w:t>Son transferencias recibidas por las ISFLSH de otras unidades institucionales residentes o no residentes en forma de cuotas de afiliación, de suscripciones, donaciones voluntarias, etc., realizadas de manera periódica u ocasional.</w:t>
                  </w:r>
                </w:p>
              </w:tc>
            </w:tr>
            <w:tr w:rsidR="00C40CC5" w:rsidRPr="004574D8" w:rsidTr="009D36F2">
              <w:trPr>
                <w:trHeight w:val="156"/>
              </w:trPr>
              <w:tc>
                <w:tcPr>
                  <w:tcW w:w="560"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D.752</w:t>
                  </w:r>
                </w:p>
              </w:tc>
              <w:tc>
                <w:tcPr>
                  <w:tcW w:w="912"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Transferencias corrientes entre hogares residentes y no residentes</w:t>
                  </w:r>
                </w:p>
              </w:tc>
              <w:tc>
                <w:tcPr>
                  <w:tcW w:w="3528" w:type="pct"/>
                  <w:shd w:val="clear" w:color="auto" w:fill="auto"/>
                </w:tcPr>
                <w:p w:rsidR="00C40CC5" w:rsidRPr="004574D8" w:rsidRDefault="00C40CC5" w:rsidP="009D36F2">
                  <w:pPr>
                    <w:spacing w:before="120" w:after="120"/>
                    <w:rPr>
                      <w:rFonts w:asciiTheme="minorHAnsi" w:hAnsiTheme="minorHAnsi"/>
                      <w:b/>
                      <w:szCs w:val="22"/>
                    </w:rPr>
                  </w:pPr>
                  <w:r w:rsidRPr="004574D8">
                    <w:rPr>
                      <w:rFonts w:asciiTheme="minorHAnsi" w:eastAsiaTheme="minorHAnsi" w:hAnsiTheme="minorHAnsi"/>
                      <w:sz w:val="22"/>
                      <w:szCs w:val="22"/>
                      <w:lang w:val="es-EC"/>
                    </w:rPr>
                    <w:t>Se trata de transferencias corrientes realizadas o recibidas, por los hogares residentes a, o de, otros hogares residentes o no residentes.</w:t>
                  </w:r>
                </w:p>
              </w:tc>
            </w:tr>
            <w:tr w:rsidR="00C40CC5" w:rsidRPr="004574D8" w:rsidTr="009D36F2">
              <w:trPr>
                <w:trHeight w:val="156"/>
              </w:trPr>
              <w:tc>
                <w:tcPr>
                  <w:tcW w:w="560"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D.759</w:t>
                  </w:r>
                </w:p>
              </w:tc>
              <w:tc>
                <w:tcPr>
                  <w:tcW w:w="912"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Otras transferencias corrientes diversas</w:t>
                  </w:r>
                </w:p>
              </w:tc>
              <w:tc>
                <w:tcPr>
                  <w:tcW w:w="3528" w:type="pct"/>
                  <w:shd w:val="clear" w:color="auto" w:fill="FFFFFF" w:themeFill="background1"/>
                </w:tcPr>
                <w:p w:rsidR="00C40CC5" w:rsidRPr="004574D8" w:rsidRDefault="00C40CC5" w:rsidP="009D36F2">
                  <w:pPr>
                    <w:spacing w:before="120" w:after="120"/>
                    <w:jc w:val="both"/>
                    <w:rPr>
                      <w:rFonts w:asciiTheme="minorHAnsi" w:hAnsiTheme="minorHAnsi"/>
                      <w:b/>
                      <w:szCs w:val="22"/>
                    </w:rPr>
                  </w:pPr>
                  <w:r w:rsidRPr="00CF405E">
                    <w:rPr>
                      <w:rFonts w:asciiTheme="minorHAnsi" w:hAnsiTheme="minorHAnsi"/>
                      <w:sz w:val="22"/>
                      <w:szCs w:val="22"/>
                    </w:rPr>
                    <w:t>Las otras transferencias</w:t>
                  </w:r>
                  <w:r>
                    <w:rPr>
                      <w:rFonts w:asciiTheme="minorHAnsi" w:hAnsiTheme="minorHAnsi"/>
                      <w:sz w:val="22"/>
                      <w:szCs w:val="22"/>
                    </w:rPr>
                    <w:t xml:space="preserve"> </w:t>
                  </w:r>
                  <w:r w:rsidRPr="00CF405E">
                    <w:rPr>
                      <w:rFonts w:asciiTheme="minorHAnsi" w:hAnsiTheme="minorHAnsi"/>
                      <w:sz w:val="22"/>
                      <w:szCs w:val="22"/>
                    </w:rPr>
                    <w:t>corrientes incluyen diversos tipos de transferencias</w:t>
                  </w:r>
                  <w:r>
                    <w:rPr>
                      <w:rFonts w:asciiTheme="minorHAnsi" w:hAnsiTheme="minorHAnsi"/>
                      <w:sz w:val="22"/>
                      <w:szCs w:val="22"/>
                    </w:rPr>
                    <w:t xml:space="preserve"> </w:t>
                  </w:r>
                  <w:r w:rsidRPr="00CF405E">
                    <w:rPr>
                      <w:rFonts w:asciiTheme="minorHAnsi" w:hAnsiTheme="minorHAnsi"/>
                      <w:sz w:val="22"/>
                      <w:szCs w:val="22"/>
                    </w:rPr>
                    <w:t xml:space="preserve">que sirven a propósitos verdaderamente </w:t>
                  </w:r>
                  <w:r>
                    <w:rPr>
                      <w:rFonts w:asciiTheme="minorHAnsi" w:hAnsiTheme="minorHAnsi"/>
                      <w:sz w:val="22"/>
                      <w:szCs w:val="22"/>
                    </w:rPr>
                    <w:t>d</w:t>
                  </w:r>
                  <w:r w:rsidRPr="00CF405E">
                    <w:rPr>
                      <w:rFonts w:asciiTheme="minorHAnsi" w:hAnsiTheme="minorHAnsi"/>
                      <w:sz w:val="22"/>
                      <w:szCs w:val="22"/>
                    </w:rPr>
                    <w:t>iferentes.</w:t>
                  </w:r>
                  <w:r>
                    <w:rPr>
                      <w:rFonts w:asciiTheme="minorHAnsi" w:hAnsiTheme="minorHAnsi"/>
                      <w:sz w:val="22"/>
                      <w:szCs w:val="22"/>
                    </w:rPr>
                    <w:t xml:space="preserve"> </w:t>
                  </w:r>
                  <w:r w:rsidRPr="00CF405E">
                    <w:rPr>
                      <w:rFonts w:asciiTheme="minorHAnsi" w:hAnsiTheme="minorHAnsi"/>
                      <w:sz w:val="22"/>
                      <w:szCs w:val="22"/>
                    </w:rPr>
                    <w:t>Las cuatro categorías son: las transacciones</w:t>
                  </w:r>
                  <w:r>
                    <w:rPr>
                      <w:rFonts w:asciiTheme="minorHAnsi" w:hAnsiTheme="minorHAnsi"/>
                      <w:sz w:val="22"/>
                      <w:szCs w:val="22"/>
                    </w:rPr>
                    <w:t xml:space="preserve"> </w:t>
                  </w:r>
                  <w:r w:rsidRPr="00CF405E">
                    <w:rPr>
                      <w:rFonts w:asciiTheme="minorHAnsi" w:hAnsiTheme="minorHAnsi"/>
                      <w:sz w:val="22"/>
                      <w:szCs w:val="22"/>
                    </w:rPr>
                    <w:t>relacionadas con los seguros, las transferencias dentro</w:t>
                  </w:r>
                  <w:r>
                    <w:rPr>
                      <w:rFonts w:asciiTheme="minorHAnsi" w:hAnsiTheme="minorHAnsi"/>
                      <w:sz w:val="22"/>
                      <w:szCs w:val="22"/>
                    </w:rPr>
                    <w:t xml:space="preserve"> </w:t>
                  </w:r>
                  <w:r w:rsidRPr="00CF405E">
                    <w:rPr>
                      <w:rFonts w:asciiTheme="minorHAnsi" w:hAnsiTheme="minorHAnsi"/>
                      <w:sz w:val="22"/>
                      <w:szCs w:val="22"/>
                    </w:rPr>
                    <w:t>del gobierno, la cooperación internacional corriente y</w:t>
                  </w:r>
                  <w:r>
                    <w:rPr>
                      <w:rFonts w:asciiTheme="minorHAnsi" w:hAnsiTheme="minorHAnsi"/>
                      <w:sz w:val="22"/>
                      <w:szCs w:val="22"/>
                    </w:rPr>
                    <w:t xml:space="preserve"> </w:t>
                  </w:r>
                  <w:r w:rsidRPr="00CF405E">
                    <w:rPr>
                      <w:rFonts w:asciiTheme="minorHAnsi" w:hAnsiTheme="minorHAnsi"/>
                      <w:sz w:val="22"/>
                      <w:szCs w:val="22"/>
                    </w:rPr>
                    <w:t>las transferencias corrientes diversas.</w:t>
                  </w:r>
                </w:p>
              </w:tc>
            </w:tr>
            <w:tr w:rsidR="00C40CC5" w:rsidRPr="004574D8" w:rsidTr="009D36F2">
              <w:trPr>
                <w:trHeight w:val="156"/>
              </w:trPr>
              <w:tc>
                <w:tcPr>
                  <w:tcW w:w="560"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D.62</w:t>
                  </w:r>
                </w:p>
              </w:tc>
              <w:tc>
                <w:tcPr>
                  <w:tcW w:w="912"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 xml:space="preserve">Prestaciones sociales distintas de las </w:t>
                  </w:r>
                  <w:r w:rsidRPr="00EF768D">
                    <w:rPr>
                      <w:rFonts w:asciiTheme="minorHAnsi" w:hAnsiTheme="minorHAnsi" w:cs="Calibri"/>
                      <w:b/>
                      <w:sz w:val="22"/>
                      <w:szCs w:val="22"/>
                    </w:rPr>
                    <w:lastRenderedPageBreak/>
                    <w:t>transferencias sociales en especie</w:t>
                  </w:r>
                </w:p>
              </w:tc>
              <w:tc>
                <w:tcPr>
                  <w:tcW w:w="3528" w:type="pct"/>
                  <w:shd w:val="clear" w:color="auto" w:fill="auto"/>
                </w:tcPr>
                <w:p w:rsidR="00C40CC5" w:rsidRPr="004574D8" w:rsidRDefault="00C40CC5" w:rsidP="009D36F2">
                  <w:pPr>
                    <w:spacing w:before="120" w:after="120"/>
                    <w:jc w:val="both"/>
                    <w:rPr>
                      <w:rFonts w:asciiTheme="minorHAnsi" w:hAnsiTheme="minorHAnsi"/>
                      <w:b/>
                      <w:szCs w:val="22"/>
                      <w:lang w:val="es-EC"/>
                    </w:rPr>
                  </w:pPr>
                  <w:r w:rsidRPr="004574D8">
                    <w:rPr>
                      <w:rFonts w:asciiTheme="minorHAnsi" w:eastAsiaTheme="minorHAnsi" w:hAnsiTheme="minorHAnsi" w:cs="Arial"/>
                      <w:bCs/>
                      <w:color w:val="000000"/>
                      <w:sz w:val="22"/>
                      <w:szCs w:val="22"/>
                      <w:lang w:val="es-EC"/>
                    </w:rPr>
                    <w:lastRenderedPageBreak/>
                    <w:t xml:space="preserve">Las prestaciones sociales son transferencias corrientes que reciben los hogares para que puedan atender a las necesidades derivadas de ciertos sucesos o circunstancias. Las prestaciones se dividen en </w:t>
                  </w:r>
                  <w:r w:rsidRPr="004574D8">
                    <w:rPr>
                      <w:rFonts w:asciiTheme="minorHAnsi" w:eastAsiaTheme="minorHAnsi" w:hAnsiTheme="minorHAnsi" w:cs="Arial"/>
                      <w:bCs/>
                      <w:color w:val="000000"/>
                      <w:sz w:val="22"/>
                      <w:szCs w:val="22"/>
                      <w:lang w:val="es-EC"/>
                    </w:rPr>
                    <w:lastRenderedPageBreak/>
                    <w:t>dos grupos, el primero consiste en las pensiones  y el segundo comprende a todas las demás prestaciones descritas como prestaciones no pensionarias. Estas cubren, por ejemplo, los pagos exigibles por concepto de enfermedad, desempleo, vivienda, enseñanza o circunstancias familiares.</w:t>
                  </w:r>
                </w:p>
              </w:tc>
            </w:tr>
            <w:tr w:rsidR="00C40CC5" w:rsidRPr="004574D8" w:rsidTr="009D36F2">
              <w:trPr>
                <w:trHeight w:val="156"/>
              </w:trPr>
              <w:tc>
                <w:tcPr>
                  <w:tcW w:w="560"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lastRenderedPageBreak/>
                    <w:t>D.622</w:t>
                  </w:r>
                </w:p>
              </w:tc>
              <w:tc>
                <w:tcPr>
                  <w:tcW w:w="912"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Otras prestaciones de seguros sociales</w:t>
                  </w:r>
                </w:p>
              </w:tc>
              <w:tc>
                <w:tcPr>
                  <w:tcW w:w="3528" w:type="pct"/>
                  <w:shd w:val="clear" w:color="auto" w:fill="auto"/>
                </w:tcPr>
                <w:p w:rsidR="00C40CC5" w:rsidRPr="004574D8" w:rsidRDefault="00C40CC5" w:rsidP="009D36F2">
                  <w:pPr>
                    <w:spacing w:before="120" w:after="120"/>
                    <w:jc w:val="both"/>
                    <w:rPr>
                      <w:rFonts w:asciiTheme="minorHAnsi" w:hAnsiTheme="minorHAnsi"/>
                      <w:b/>
                      <w:szCs w:val="22"/>
                      <w:lang w:val="es-EC"/>
                    </w:rPr>
                  </w:pPr>
                  <w:r w:rsidRPr="004574D8">
                    <w:rPr>
                      <w:rFonts w:asciiTheme="minorHAnsi" w:eastAsiaTheme="minorHAnsi" w:hAnsiTheme="minorHAnsi" w:cs="Arial"/>
                      <w:bCs/>
                      <w:color w:val="000000"/>
                      <w:sz w:val="22"/>
                      <w:szCs w:val="22"/>
                      <w:lang w:val="es-EC"/>
                    </w:rPr>
                    <w:t>Están relacionadas con el empleo, son las prestaciones sociales que los sistemas de seguros sociales distintos de la seguridad social pagan a los contribuyentes a dichos sistemas, a las personas  que dependen de ellos o a sus supervivientes.</w:t>
                  </w:r>
                </w:p>
              </w:tc>
            </w:tr>
            <w:tr w:rsidR="00C40CC5" w:rsidRPr="004574D8" w:rsidTr="009D36F2">
              <w:trPr>
                <w:trHeight w:val="156"/>
              </w:trPr>
              <w:tc>
                <w:tcPr>
                  <w:tcW w:w="560"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 xml:space="preserve">D.6221 </w:t>
                  </w:r>
                </w:p>
              </w:tc>
              <w:tc>
                <w:tcPr>
                  <w:tcW w:w="912"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Otras prestaciones pensionarias de los seguros sociales</w:t>
                  </w:r>
                </w:p>
              </w:tc>
              <w:tc>
                <w:tcPr>
                  <w:tcW w:w="3528" w:type="pct"/>
                  <w:shd w:val="clear" w:color="auto" w:fill="auto"/>
                </w:tcPr>
                <w:p w:rsidR="00C40CC5" w:rsidRPr="004574D8" w:rsidRDefault="00C40CC5" w:rsidP="009D36F2">
                  <w:pPr>
                    <w:spacing w:before="120" w:after="120"/>
                    <w:jc w:val="both"/>
                    <w:rPr>
                      <w:rFonts w:asciiTheme="minorHAnsi" w:hAnsiTheme="minorHAnsi"/>
                      <w:b/>
                      <w:szCs w:val="22"/>
                    </w:rPr>
                  </w:pPr>
                  <w:r w:rsidRPr="004574D8">
                    <w:rPr>
                      <w:rFonts w:asciiTheme="minorHAnsi" w:eastAsiaTheme="minorHAnsi" w:hAnsiTheme="minorHAnsi" w:cs="Arial"/>
                      <w:bCs/>
                      <w:color w:val="000000"/>
                      <w:sz w:val="22"/>
                      <w:szCs w:val="22"/>
                      <w:lang w:val="es-EC"/>
                    </w:rPr>
                    <w:t>Son las prestaciones sociales pensionarias que los sistemas de seguros sociales distintos de la seguridad social pagan a los contribuyentes a dichos sistemas, a las personas  que dependen de ellos o a sus supervivientes.</w:t>
                  </w:r>
                </w:p>
              </w:tc>
            </w:tr>
            <w:tr w:rsidR="00C40CC5" w:rsidRPr="004574D8" w:rsidTr="009D36F2">
              <w:trPr>
                <w:trHeight w:val="156"/>
              </w:trPr>
              <w:tc>
                <w:tcPr>
                  <w:tcW w:w="560"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D.6222</w:t>
                  </w:r>
                </w:p>
              </w:tc>
              <w:tc>
                <w:tcPr>
                  <w:tcW w:w="912" w:type="pct"/>
                </w:tcPr>
                <w:p w:rsidR="00C40CC5" w:rsidRPr="00EF768D" w:rsidRDefault="00C40CC5" w:rsidP="009D36F2">
                  <w:pPr>
                    <w:spacing w:before="120" w:after="120"/>
                    <w:rPr>
                      <w:rFonts w:asciiTheme="minorHAnsi" w:hAnsiTheme="minorHAnsi" w:cs="Calibri"/>
                      <w:b/>
                      <w:szCs w:val="22"/>
                    </w:rPr>
                  </w:pPr>
                  <w:r w:rsidRPr="00EF768D">
                    <w:rPr>
                      <w:rFonts w:asciiTheme="minorHAnsi" w:hAnsiTheme="minorHAnsi" w:cs="Calibri"/>
                      <w:b/>
                      <w:sz w:val="22"/>
                      <w:szCs w:val="22"/>
                    </w:rPr>
                    <w:t>Otras prestaciones no pensionarias de los seguros sociales</w:t>
                  </w:r>
                </w:p>
              </w:tc>
              <w:tc>
                <w:tcPr>
                  <w:tcW w:w="3528" w:type="pct"/>
                  <w:shd w:val="clear" w:color="auto" w:fill="auto"/>
                </w:tcPr>
                <w:p w:rsidR="00C40CC5" w:rsidRPr="004574D8" w:rsidRDefault="00C40CC5" w:rsidP="009D36F2">
                  <w:pPr>
                    <w:spacing w:before="120" w:after="120"/>
                    <w:jc w:val="both"/>
                    <w:rPr>
                      <w:rFonts w:asciiTheme="minorHAnsi" w:hAnsiTheme="minorHAnsi"/>
                      <w:b/>
                      <w:szCs w:val="22"/>
                    </w:rPr>
                  </w:pPr>
                  <w:r w:rsidRPr="004574D8">
                    <w:rPr>
                      <w:rFonts w:asciiTheme="minorHAnsi" w:eastAsiaTheme="minorHAnsi" w:hAnsiTheme="minorHAnsi" w:cs="Arial"/>
                      <w:bCs/>
                      <w:color w:val="000000"/>
                      <w:sz w:val="22"/>
                      <w:szCs w:val="22"/>
                      <w:lang w:val="es-EC"/>
                    </w:rPr>
                    <w:t>Son las prestaciones sociales no pensionarias que los sistemas de seguros sociales distintos de la seguridad social pagan a los contribuyentes a dichos sistemas, a las personas  que dependen de ellos o a sus supervivientes.</w:t>
                  </w:r>
                </w:p>
              </w:tc>
            </w:tr>
            <w:tr w:rsidR="00C40CC5" w:rsidRPr="004574D8" w:rsidTr="009D36F2">
              <w:trPr>
                <w:trHeight w:val="156"/>
              </w:trPr>
              <w:tc>
                <w:tcPr>
                  <w:tcW w:w="560" w:type="pct"/>
                </w:tcPr>
                <w:p w:rsidR="00C40CC5" w:rsidRPr="004574D8" w:rsidRDefault="00C40CC5" w:rsidP="009D36F2">
                  <w:pPr>
                    <w:spacing w:before="120" w:after="120"/>
                    <w:rPr>
                      <w:rFonts w:asciiTheme="minorHAnsi" w:hAnsiTheme="minorHAnsi" w:cs="Calibri"/>
                      <w:b/>
                      <w:bCs/>
                      <w:szCs w:val="22"/>
                    </w:rPr>
                  </w:pPr>
                  <w:r w:rsidRPr="004574D8">
                    <w:rPr>
                      <w:rFonts w:asciiTheme="minorHAnsi" w:hAnsiTheme="minorHAnsi" w:cs="Calibri"/>
                      <w:b/>
                      <w:bCs/>
                      <w:sz w:val="22"/>
                      <w:szCs w:val="22"/>
                    </w:rPr>
                    <w:t>B.6b</w:t>
                  </w:r>
                </w:p>
              </w:tc>
              <w:tc>
                <w:tcPr>
                  <w:tcW w:w="912" w:type="pct"/>
                </w:tcPr>
                <w:p w:rsidR="00C40CC5" w:rsidRPr="004574D8" w:rsidRDefault="00C40CC5" w:rsidP="009D36F2">
                  <w:pPr>
                    <w:spacing w:before="120" w:after="120"/>
                    <w:rPr>
                      <w:rFonts w:asciiTheme="minorHAnsi" w:hAnsiTheme="minorHAnsi" w:cs="Calibri"/>
                      <w:b/>
                      <w:bCs/>
                      <w:szCs w:val="22"/>
                    </w:rPr>
                  </w:pPr>
                  <w:r w:rsidRPr="004574D8">
                    <w:rPr>
                      <w:rFonts w:asciiTheme="minorHAnsi" w:hAnsiTheme="minorHAnsi" w:cs="Calibri"/>
                      <w:b/>
                      <w:bCs/>
                      <w:sz w:val="22"/>
                      <w:szCs w:val="22"/>
                    </w:rPr>
                    <w:t>Ingreso nacional disponible bruto</w:t>
                  </w:r>
                </w:p>
              </w:tc>
              <w:tc>
                <w:tcPr>
                  <w:tcW w:w="3528" w:type="pct"/>
                  <w:shd w:val="clear" w:color="auto" w:fill="auto"/>
                </w:tcPr>
                <w:p w:rsidR="00C40CC5" w:rsidRPr="001C62EC" w:rsidRDefault="00C40CC5" w:rsidP="009D36F2">
                  <w:pPr>
                    <w:autoSpaceDE w:val="0"/>
                    <w:autoSpaceDN w:val="0"/>
                    <w:adjustRightInd w:val="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 w:val="22"/>
                      <w:szCs w:val="22"/>
                    </w:rPr>
                    <w:t>P</w:t>
                  </w:r>
                  <w:proofErr w:type="spellStart"/>
                  <w:r w:rsidRPr="001C62EC">
                    <w:rPr>
                      <w:rFonts w:asciiTheme="minorHAnsi" w:eastAsiaTheme="minorHAnsi" w:hAnsiTheme="minorHAnsi" w:cs="Arial"/>
                      <w:bCs/>
                      <w:color w:val="000000"/>
                      <w:sz w:val="22"/>
                      <w:szCs w:val="22"/>
                      <w:lang w:val="es-EC"/>
                    </w:rPr>
                    <w:t>ued</w:t>
                  </w:r>
                  <w:r>
                    <w:rPr>
                      <w:rFonts w:asciiTheme="minorHAnsi" w:eastAsiaTheme="minorHAnsi" w:hAnsiTheme="minorHAnsi" w:cs="Arial"/>
                      <w:bCs/>
                      <w:color w:val="000000"/>
                      <w:sz w:val="22"/>
                      <w:szCs w:val="22"/>
                      <w:lang w:val="es-EC"/>
                    </w:rPr>
                    <w:t>en</w:t>
                  </w:r>
                  <w:proofErr w:type="spellEnd"/>
                  <w:r w:rsidRPr="001C62EC">
                    <w:rPr>
                      <w:rFonts w:asciiTheme="minorHAnsi" w:eastAsiaTheme="minorHAnsi" w:hAnsiTheme="minorHAnsi" w:cs="Arial"/>
                      <w:bCs/>
                      <w:color w:val="000000"/>
                      <w:sz w:val="22"/>
                      <w:szCs w:val="22"/>
                      <w:lang w:val="es-EC"/>
                    </w:rPr>
                    <w:t xml:space="preserve"> obtenerse a partir de</w:t>
                  </w:r>
                  <w:r>
                    <w:rPr>
                      <w:rFonts w:asciiTheme="minorHAnsi" w:eastAsiaTheme="minorHAnsi" w:hAnsiTheme="minorHAnsi" w:cs="Arial"/>
                      <w:bCs/>
                      <w:color w:val="000000"/>
                      <w:sz w:val="22"/>
                      <w:szCs w:val="22"/>
                      <w:lang w:val="es-EC"/>
                    </w:rPr>
                    <w:t xml:space="preserve">l ingreso nacional, bruto </w:t>
                  </w:r>
                  <w:r w:rsidRPr="001C62EC">
                    <w:rPr>
                      <w:rFonts w:asciiTheme="minorHAnsi" w:eastAsiaTheme="minorHAnsi" w:hAnsiTheme="minorHAnsi" w:cs="Arial"/>
                      <w:bCs/>
                      <w:color w:val="000000"/>
                      <w:sz w:val="22"/>
                      <w:szCs w:val="22"/>
                      <w:lang w:val="es-EC"/>
                    </w:rPr>
                    <w:t>s</w:t>
                  </w:r>
                  <w:r>
                    <w:rPr>
                      <w:rFonts w:asciiTheme="minorHAnsi" w:eastAsiaTheme="minorHAnsi" w:hAnsiTheme="minorHAnsi" w:cs="Arial"/>
                      <w:bCs/>
                      <w:color w:val="000000"/>
                      <w:sz w:val="22"/>
                      <w:szCs w:val="22"/>
                      <w:lang w:val="es-EC"/>
                    </w:rPr>
                    <w:t xml:space="preserve">umando todas las transferencias corrientes en dinero o en </w:t>
                  </w:r>
                  <w:r w:rsidRPr="001C62EC">
                    <w:rPr>
                      <w:rFonts w:asciiTheme="minorHAnsi" w:eastAsiaTheme="minorHAnsi" w:hAnsiTheme="minorHAnsi" w:cs="Arial"/>
                      <w:bCs/>
                      <w:color w:val="000000"/>
                      <w:sz w:val="22"/>
                      <w:szCs w:val="22"/>
                      <w:lang w:val="es-EC"/>
                    </w:rPr>
                    <w:t>especie a recibir por las unidades institucionales resident</w:t>
                  </w:r>
                  <w:r>
                    <w:rPr>
                      <w:rFonts w:asciiTheme="minorHAnsi" w:eastAsiaTheme="minorHAnsi" w:hAnsiTheme="minorHAnsi" w:cs="Arial"/>
                      <w:bCs/>
                      <w:color w:val="000000"/>
                      <w:sz w:val="22"/>
                      <w:szCs w:val="22"/>
                      <w:lang w:val="es-EC"/>
                    </w:rPr>
                    <w:t xml:space="preserve">es de las unidades no </w:t>
                  </w:r>
                  <w:r w:rsidRPr="001C62EC">
                    <w:rPr>
                      <w:rFonts w:asciiTheme="minorHAnsi" w:eastAsiaTheme="minorHAnsi" w:hAnsiTheme="minorHAnsi" w:cs="Arial"/>
                      <w:bCs/>
                      <w:color w:val="000000"/>
                      <w:sz w:val="22"/>
                      <w:szCs w:val="22"/>
                      <w:lang w:val="es-EC"/>
                    </w:rPr>
                    <w:t>residentes; y restando todas las transferencias corrientes en dinero o en e</w:t>
                  </w:r>
                  <w:r>
                    <w:rPr>
                      <w:rFonts w:asciiTheme="minorHAnsi" w:eastAsiaTheme="minorHAnsi" w:hAnsiTheme="minorHAnsi" w:cs="Arial"/>
                      <w:bCs/>
                      <w:color w:val="000000"/>
                      <w:sz w:val="22"/>
                      <w:szCs w:val="22"/>
                      <w:lang w:val="es-EC"/>
                    </w:rPr>
                    <w:t xml:space="preserve">specie a pagar por las unidades </w:t>
                  </w:r>
                  <w:r w:rsidRPr="001C62EC">
                    <w:rPr>
                      <w:rFonts w:asciiTheme="minorHAnsi" w:eastAsiaTheme="minorHAnsi" w:hAnsiTheme="minorHAnsi" w:cs="Arial"/>
                      <w:bCs/>
                      <w:color w:val="000000"/>
                      <w:sz w:val="22"/>
                      <w:szCs w:val="22"/>
                      <w:lang w:val="es-EC"/>
                    </w:rPr>
                    <w:t>institucionales residentes a las unidades no residentes</w:t>
                  </w:r>
                </w:p>
              </w:tc>
            </w:tr>
            <w:tr w:rsidR="00C40CC5" w:rsidRPr="004574D8" w:rsidTr="009D36F2">
              <w:trPr>
                <w:trHeight w:val="156"/>
              </w:trPr>
              <w:tc>
                <w:tcPr>
                  <w:tcW w:w="560" w:type="pct"/>
                </w:tcPr>
                <w:p w:rsidR="00C40CC5" w:rsidRPr="004574D8" w:rsidRDefault="00C40CC5" w:rsidP="009D36F2">
                  <w:pPr>
                    <w:spacing w:before="120" w:after="120"/>
                    <w:rPr>
                      <w:rFonts w:asciiTheme="minorHAnsi" w:hAnsiTheme="minorHAnsi" w:cs="Calibri"/>
                      <w:b/>
                      <w:bCs/>
                      <w:szCs w:val="22"/>
                    </w:rPr>
                  </w:pPr>
                  <w:r w:rsidRPr="004574D8">
                    <w:rPr>
                      <w:rFonts w:asciiTheme="minorHAnsi" w:hAnsiTheme="minorHAnsi" w:cs="Calibri"/>
                      <w:b/>
                      <w:bCs/>
                      <w:sz w:val="22"/>
                      <w:szCs w:val="22"/>
                    </w:rPr>
                    <w:t>B.6n</w:t>
                  </w:r>
                </w:p>
              </w:tc>
              <w:tc>
                <w:tcPr>
                  <w:tcW w:w="912" w:type="pct"/>
                </w:tcPr>
                <w:p w:rsidR="00C40CC5" w:rsidRPr="004574D8" w:rsidRDefault="00C40CC5" w:rsidP="009D36F2">
                  <w:pPr>
                    <w:spacing w:before="120" w:after="120"/>
                    <w:rPr>
                      <w:rFonts w:asciiTheme="minorHAnsi" w:hAnsiTheme="minorHAnsi" w:cs="Calibri"/>
                      <w:b/>
                      <w:bCs/>
                      <w:szCs w:val="22"/>
                    </w:rPr>
                  </w:pPr>
                  <w:r w:rsidRPr="004574D8">
                    <w:rPr>
                      <w:rFonts w:asciiTheme="minorHAnsi" w:hAnsiTheme="minorHAnsi" w:cs="Calibri"/>
                      <w:b/>
                      <w:bCs/>
                      <w:sz w:val="22"/>
                      <w:szCs w:val="22"/>
                    </w:rPr>
                    <w:t>Ingreso nacional disponible neto</w:t>
                  </w:r>
                </w:p>
              </w:tc>
              <w:tc>
                <w:tcPr>
                  <w:tcW w:w="3528" w:type="pct"/>
                  <w:shd w:val="clear" w:color="auto" w:fill="auto"/>
                </w:tcPr>
                <w:p w:rsidR="00C40CC5" w:rsidRPr="001C62EC" w:rsidRDefault="00C40CC5" w:rsidP="009D36F2">
                  <w:pPr>
                    <w:autoSpaceDE w:val="0"/>
                    <w:autoSpaceDN w:val="0"/>
                    <w:adjustRightInd w:val="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 w:val="22"/>
                      <w:szCs w:val="22"/>
                      <w:lang w:val="es-EC"/>
                    </w:rPr>
                    <w:t xml:space="preserve">El ingreso </w:t>
                  </w:r>
                  <w:r w:rsidRPr="001C62EC">
                    <w:rPr>
                      <w:rFonts w:asciiTheme="minorHAnsi" w:eastAsiaTheme="minorHAnsi" w:hAnsiTheme="minorHAnsi" w:cs="Arial"/>
                      <w:bCs/>
                      <w:color w:val="000000"/>
                      <w:sz w:val="22"/>
                      <w:szCs w:val="22"/>
                      <w:lang w:val="es-EC"/>
                    </w:rPr>
                    <w:t>nacional disponible neto (INDN) se define como el</w:t>
                  </w:r>
                  <w:r>
                    <w:rPr>
                      <w:rFonts w:asciiTheme="minorHAnsi" w:eastAsiaTheme="minorHAnsi" w:hAnsiTheme="minorHAnsi" w:cs="Arial"/>
                      <w:bCs/>
                      <w:color w:val="000000"/>
                      <w:sz w:val="22"/>
                      <w:szCs w:val="22"/>
                      <w:lang w:val="es-EC"/>
                    </w:rPr>
                    <w:t xml:space="preserve"> </w:t>
                  </w:r>
                  <w:r w:rsidRPr="001C62EC">
                    <w:rPr>
                      <w:rFonts w:asciiTheme="minorHAnsi" w:eastAsiaTheme="minorHAnsi" w:hAnsiTheme="minorHAnsi" w:cs="Arial"/>
                      <w:bCs/>
                      <w:color w:val="000000"/>
                      <w:sz w:val="22"/>
                      <w:szCs w:val="22"/>
                      <w:lang w:val="es-EC"/>
                    </w:rPr>
                    <w:t>ingreso nacional neto (INN) más las transferencias</w:t>
                  </w:r>
                  <w:r>
                    <w:rPr>
                      <w:rFonts w:asciiTheme="minorHAnsi" w:eastAsiaTheme="minorHAnsi" w:hAnsiTheme="minorHAnsi" w:cs="Arial"/>
                      <w:bCs/>
                      <w:color w:val="000000"/>
                      <w:sz w:val="22"/>
                      <w:szCs w:val="22"/>
                      <w:lang w:val="es-EC"/>
                    </w:rPr>
                    <w:t xml:space="preserve"> </w:t>
                  </w:r>
                  <w:r w:rsidRPr="001C62EC">
                    <w:rPr>
                      <w:rFonts w:asciiTheme="minorHAnsi" w:eastAsiaTheme="minorHAnsi" w:hAnsiTheme="minorHAnsi" w:cs="Arial"/>
                      <w:bCs/>
                      <w:color w:val="000000"/>
                      <w:sz w:val="22"/>
                      <w:szCs w:val="22"/>
                      <w:lang w:val="es-EC"/>
                    </w:rPr>
                    <w:t>corrientes po</w:t>
                  </w:r>
                  <w:r>
                    <w:rPr>
                      <w:rFonts w:asciiTheme="minorHAnsi" w:eastAsiaTheme="minorHAnsi" w:hAnsiTheme="minorHAnsi" w:cs="Arial"/>
                      <w:bCs/>
                      <w:color w:val="000000"/>
                      <w:sz w:val="22"/>
                      <w:szCs w:val="22"/>
                      <w:lang w:val="es-EC"/>
                    </w:rPr>
                    <w:t xml:space="preserve">r cobrar del exterior menos las </w:t>
                  </w:r>
                  <w:r w:rsidRPr="001C62EC">
                    <w:rPr>
                      <w:rFonts w:asciiTheme="minorHAnsi" w:eastAsiaTheme="minorHAnsi" w:hAnsiTheme="minorHAnsi" w:cs="Arial"/>
                      <w:bCs/>
                      <w:color w:val="000000"/>
                      <w:sz w:val="22"/>
                      <w:szCs w:val="22"/>
                      <w:lang w:val="es-EC"/>
                    </w:rPr>
                    <w:t>transferencias corrientes por pagar al exterior.</w:t>
                  </w:r>
                </w:p>
              </w:tc>
            </w:tr>
          </w:tbl>
          <w:p w:rsidR="00C40CC5" w:rsidRPr="00410A0A" w:rsidRDefault="00C40CC5" w:rsidP="00C40CC5">
            <w:pPr>
              <w:jc w:val="both"/>
              <w:rPr>
                <w:rFonts w:asciiTheme="minorHAnsi" w:hAnsiTheme="minorHAnsi" w:cs="Arial"/>
                <w:szCs w:val="22"/>
              </w:rPr>
            </w:pPr>
          </w:p>
        </w:tc>
      </w:tr>
    </w:tbl>
    <w:p w:rsidR="00C40CC5" w:rsidRDefault="00C40CC5"/>
    <w:tbl>
      <w:tblPr>
        <w:tblStyle w:val="Tablaconcuadrcula"/>
        <w:tblW w:w="0" w:type="auto"/>
        <w:jc w:val="center"/>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4A0" w:firstRow="1" w:lastRow="0" w:firstColumn="1" w:lastColumn="0" w:noHBand="0" w:noVBand="1"/>
      </w:tblPr>
      <w:tblGrid>
        <w:gridCol w:w="9054"/>
      </w:tblGrid>
      <w:tr w:rsidR="00C40CC5" w:rsidRPr="00410A0A" w:rsidTr="009D36F2">
        <w:trPr>
          <w:jc w:val="center"/>
        </w:trPr>
        <w:tc>
          <w:tcPr>
            <w:tcW w:w="9054" w:type="dxa"/>
            <w:vAlign w:val="center"/>
          </w:tcPr>
          <w:p w:rsidR="00C40CC5" w:rsidRDefault="00C40CC5" w:rsidP="009D36F2">
            <w:pPr>
              <w:jc w:val="both"/>
              <w:rPr>
                <w:rFonts w:asciiTheme="minorHAnsi" w:hAnsiTheme="minorHAnsi" w:cs="Arial"/>
                <w:szCs w:val="22"/>
              </w:rPr>
            </w:pPr>
          </w:p>
          <w:p w:rsidR="000A3871" w:rsidRPr="000A3871" w:rsidRDefault="000A3871" w:rsidP="009D36F2">
            <w:pPr>
              <w:jc w:val="both"/>
              <w:rPr>
                <w:rFonts w:asciiTheme="minorHAnsi" w:hAnsiTheme="minorHAnsi" w:cs="Arial"/>
                <w:sz w:val="26"/>
                <w:szCs w:val="26"/>
              </w:rPr>
            </w:pPr>
            <w:r w:rsidRPr="000A3871">
              <w:rPr>
                <w:rFonts w:ascii="Calibri" w:hAnsi="Calibri"/>
                <w:b/>
                <w:bCs/>
                <w:color w:val="000000"/>
                <w:sz w:val="26"/>
                <w:szCs w:val="26"/>
                <w:lang w:eastAsia="es-EC"/>
              </w:rPr>
              <w:t>C</w:t>
            </w:r>
            <w:r w:rsidRPr="000A3871">
              <w:rPr>
                <w:rFonts w:ascii="Calibri" w:hAnsi="Calibri"/>
                <w:b/>
                <w:bCs/>
                <w:color w:val="000000"/>
                <w:sz w:val="26"/>
                <w:szCs w:val="26"/>
                <w:lang w:val="es-EC" w:eastAsia="es-EC"/>
              </w:rPr>
              <w:t>uenta de redistribución del ingreso en especie</w:t>
            </w:r>
          </w:p>
          <w:p w:rsidR="000A3871" w:rsidRPr="00410A0A" w:rsidRDefault="000A3871" w:rsidP="009D36F2">
            <w:pPr>
              <w:jc w:val="both"/>
              <w:rPr>
                <w:rFonts w:asciiTheme="minorHAnsi" w:hAnsiTheme="minorHAnsi" w:cs="Arial"/>
                <w:szCs w:val="22"/>
              </w:rPr>
            </w:pPr>
          </w:p>
          <w:tbl>
            <w:tblPr>
              <w:tblW w:w="8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717"/>
              <w:gridCol w:w="6229"/>
            </w:tblGrid>
            <w:tr w:rsidR="00C40CC5" w:rsidRPr="004621F4" w:rsidTr="009D36F2">
              <w:trPr>
                <w:trHeight w:hRule="exact" w:val="1050"/>
                <w:tblHeader/>
              </w:trPr>
              <w:tc>
                <w:tcPr>
                  <w:tcW w:w="501" w:type="pct"/>
                  <w:shd w:val="clear" w:color="auto" w:fill="DBE5F1" w:themeFill="accent1" w:themeFillTint="33"/>
                  <w:vAlign w:val="center"/>
                </w:tcPr>
                <w:p w:rsidR="00C40CC5" w:rsidRPr="004621F4" w:rsidRDefault="00C40CC5" w:rsidP="009D36F2">
                  <w:pPr>
                    <w:spacing w:before="120" w:after="120"/>
                    <w:jc w:val="center"/>
                    <w:rPr>
                      <w:rFonts w:asciiTheme="minorHAnsi" w:hAnsiTheme="minorHAnsi" w:cs="Calibri"/>
                      <w:b/>
                      <w:szCs w:val="22"/>
                      <w:lang w:val="es-EC"/>
                    </w:rPr>
                  </w:pPr>
                  <w:r w:rsidRPr="004621F4">
                    <w:rPr>
                      <w:rFonts w:asciiTheme="minorHAnsi" w:hAnsiTheme="minorHAnsi" w:cs="Calibri"/>
                      <w:b/>
                      <w:sz w:val="22"/>
                      <w:szCs w:val="22"/>
                      <w:lang w:val="es-EC"/>
                    </w:rPr>
                    <w:t>Código SCN 2008</w:t>
                  </w:r>
                </w:p>
              </w:tc>
              <w:tc>
                <w:tcPr>
                  <w:tcW w:w="972" w:type="pct"/>
                  <w:shd w:val="clear" w:color="auto" w:fill="DBE5F1" w:themeFill="accent1" w:themeFillTint="33"/>
                  <w:vAlign w:val="center"/>
                </w:tcPr>
                <w:p w:rsidR="00C40CC5" w:rsidRPr="004621F4" w:rsidRDefault="00C40CC5" w:rsidP="009D36F2">
                  <w:pPr>
                    <w:spacing w:before="120" w:after="120"/>
                    <w:jc w:val="center"/>
                    <w:rPr>
                      <w:rFonts w:asciiTheme="minorHAnsi" w:hAnsiTheme="minorHAnsi" w:cs="Calibri"/>
                      <w:b/>
                      <w:szCs w:val="22"/>
                      <w:lang w:val="es-EC"/>
                    </w:rPr>
                  </w:pPr>
                  <w:r w:rsidRPr="004621F4">
                    <w:rPr>
                      <w:rFonts w:asciiTheme="minorHAnsi" w:hAnsiTheme="minorHAnsi" w:cs="Calibri"/>
                      <w:b/>
                      <w:sz w:val="22"/>
                      <w:szCs w:val="22"/>
                      <w:lang w:val="es-EC"/>
                    </w:rPr>
                    <w:t>Transacción</w:t>
                  </w:r>
                </w:p>
              </w:tc>
              <w:tc>
                <w:tcPr>
                  <w:tcW w:w="3527" w:type="pct"/>
                  <w:shd w:val="clear" w:color="auto" w:fill="DBE5F1" w:themeFill="accent1" w:themeFillTint="33"/>
                  <w:vAlign w:val="center"/>
                </w:tcPr>
                <w:p w:rsidR="00C40CC5" w:rsidRPr="004621F4" w:rsidRDefault="00C40CC5" w:rsidP="009D36F2">
                  <w:pPr>
                    <w:spacing w:before="120" w:after="120"/>
                    <w:jc w:val="center"/>
                    <w:rPr>
                      <w:rFonts w:asciiTheme="minorHAnsi" w:hAnsiTheme="minorHAnsi" w:cs="Calibri"/>
                      <w:b/>
                      <w:szCs w:val="22"/>
                      <w:lang w:val="es-EC"/>
                    </w:rPr>
                  </w:pPr>
                  <w:r w:rsidRPr="004621F4">
                    <w:rPr>
                      <w:rFonts w:asciiTheme="minorHAnsi" w:hAnsiTheme="minorHAnsi" w:cs="Calibri"/>
                      <w:b/>
                      <w:sz w:val="22"/>
                      <w:szCs w:val="22"/>
                      <w:lang w:val="es-EC"/>
                    </w:rPr>
                    <w:t>Descripción</w:t>
                  </w:r>
                </w:p>
              </w:tc>
            </w:tr>
            <w:tr w:rsidR="00C40CC5" w:rsidRPr="00B226CC" w:rsidTr="009D36F2">
              <w:trPr>
                <w:trHeight w:val="156"/>
              </w:trPr>
              <w:tc>
                <w:tcPr>
                  <w:tcW w:w="501" w:type="pct"/>
                </w:tcPr>
                <w:p w:rsidR="00C40CC5" w:rsidRPr="004621F4" w:rsidRDefault="00C40CC5" w:rsidP="009D36F2">
                  <w:pPr>
                    <w:spacing w:before="120" w:after="120"/>
                    <w:rPr>
                      <w:rFonts w:asciiTheme="minorHAnsi" w:hAnsiTheme="minorHAnsi" w:cs="Calibri"/>
                      <w:b/>
                      <w:bCs/>
                      <w:szCs w:val="22"/>
                    </w:rPr>
                  </w:pPr>
                  <w:r w:rsidRPr="004621F4">
                    <w:rPr>
                      <w:rFonts w:asciiTheme="minorHAnsi" w:hAnsiTheme="minorHAnsi" w:cs="Calibri"/>
                      <w:b/>
                      <w:bCs/>
                      <w:sz w:val="22"/>
                      <w:szCs w:val="22"/>
                    </w:rPr>
                    <w:t>B.6b</w:t>
                  </w:r>
                </w:p>
              </w:tc>
              <w:tc>
                <w:tcPr>
                  <w:tcW w:w="972" w:type="pct"/>
                </w:tcPr>
                <w:p w:rsidR="00C40CC5" w:rsidRPr="004621F4" w:rsidRDefault="00C40CC5" w:rsidP="009D36F2">
                  <w:pPr>
                    <w:spacing w:before="120" w:after="120"/>
                    <w:rPr>
                      <w:rFonts w:asciiTheme="minorHAnsi" w:hAnsiTheme="minorHAnsi" w:cs="Calibri"/>
                      <w:b/>
                      <w:bCs/>
                      <w:szCs w:val="22"/>
                    </w:rPr>
                  </w:pPr>
                  <w:r w:rsidRPr="004621F4">
                    <w:rPr>
                      <w:rFonts w:asciiTheme="minorHAnsi" w:hAnsiTheme="minorHAnsi" w:cs="Calibri"/>
                      <w:b/>
                      <w:bCs/>
                      <w:sz w:val="22"/>
                      <w:szCs w:val="22"/>
                    </w:rPr>
                    <w:t>Ingreso nacional disponible bruto</w:t>
                  </w:r>
                </w:p>
              </w:tc>
              <w:tc>
                <w:tcPr>
                  <w:tcW w:w="3527" w:type="pct"/>
                  <w:shd w:val="clear" w:color="auto" w:fill="auto"/>
                </w:tcPr>
                <w:p w:rsidR="00C40CC5" w:rsidRPr="00B226CC" w:rsidRDefault="00C40CC5" w:rsidP="009D36F2">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 w:val="22"/>
                      <w:szCs w:val="22"/>
                    </w:rPr>
                    <w:t>P</w:t>
                  </w:r>
                  <w:r w:rsidRPr="00B226CC">
                    <w:rPr>
                      <w:rFonts w:asciiTheme="minorHAnsi" w:eastAsiaTheme="minorHAnsi" w:hAnsiTheme="minorHAnsi" w:cs="Arial"/>
                      <w:bCs/>
                      <w:color w:val="000000"/>
                      <w:sz w:val="22"/>
                      <w:szCs w:val="22"/>
                    </w:rPr>
                    <w:t xml:space="preserve">uede obtenerse a partir del ingreso nacional, bruto sumando todas las transferencias corrientes en dinero o en especie a recibir por las unidades institucionales residentes de las unidades no residentes; y restando todas las transferencias corrientes en dinero </w:t>
                  </w:r>
                  <w:r w:rsidRPr="00B226CC">
                    <w:rPr>
                      <w:rFonts w:asciiTheme="minorHAnsi" w:eastAsiaTheme="minorHAnsi" w:hAnsiTheme="minorHAnsi" w:cs="Arial"/>
                      <w:bCs/>
                      <w:color w:val="000000"/>
                      <w:sz w:val="22"/>
                      <w:szCs w:val="22"/>
                    </w:rPr>
                    <w:lastRenderedPageBreak/>
                    <w:t>o en especie a pagar por las unidades institucionales residentes a las unidades no residentes</w:t>
                  </w:r>
                </w:p>
              </w:tc>
            </w:tr>
            <w:tr w:rsidR="00C40CC5" w:rsidRPr="004621F4" w:rsidTr="009D36F2">
              <w:trPr>
                <w:trHeight w:val="156"/>
              </w:trPr>
              <w:tc>
                <w:tcPr>
                  <w:tcW w:w="501" w:type="pct"/>
                </w:tcPr>
                <w:p w:rsidR="00C40CC5" w:rsidRPr="004621F4" w:rsidRDefault="00C40CC5" w:rsidP="009D36F2">
                  <w:pPr>
                    <w:spacing w:before="120" w:after="120"/>
                    <w:rPr>
                      <w:rFonts w:asciiTheme="minorHAnsi" w:hAnsiTheme="minorHAnsi" w:cs="Calibri"/>
                      <w:b/>
                      <w:bCs/>
                      <w:szCs w:val="22"/>
                    </w:rPr>
                  </w:pPr>
                  <w:r w:rsidRPr="004621F4">
                    <w:rPr>
                      <w:rFonts w:asciiTheme="minorHAnsi" w:hAnsiTheme="minorHAnsi" w:cs="Calibri"/>
                      <w:b/>
                      <w:bCs/>
                      <w:sz w:val="22"/>
                      <w:szCs w:val="22"/>
                    </w:rPr>
                    <w:lastRenderedPageBreak/>
                    <w:t>B.6n</w:t>
                  </w:r>
                </w:p>
              </w:tc>
              <w:tc>
                <w:tcPr>
                  <w:tcW w:w="972" w:type="pct"/>
                </w:tcPr>
                <w:p w:rsidR="00C40CC5" w:rsidRPr="004621F4" w:rsidRDefault="00C40CC5" w:rsidP="009D36F2">
                  <w:pPr>
                    <w:spacing w:before="120" w:after="120"/>
                    <w:rPr>
                      <w:rFonts w:asciiTheme="minorHAnsi" w:hAnsiTheme="minorHAnsi" w:cs="Calibri"/>
                      <w:b/>
                      <w:bCs/>
                      <w:szCs w:val="22"/>
                    </w:rPr>
                  </w:pPr>
                  <w:r w:rsidRPr="004621F4">
                    <w:rPr>
                      <w:rFonts w:asciiTheme="minorHAnsi" w:hAnsiTheme="minorHAnsi" w:cs="Calibri"/>
                      <w:b/>
                      <w:bCs/>
                      <w:sz w:val="22"/>
                      <w:szCs w:val="22"/>
                    </w:rPr>
                    <w:t>Ingreso nacional disponible neto</w:t>
                  </w:r>
                </w:p>
              </w:tc>
              <w:tc>
                <w:tcPr>
                  <w:tcW w:w="3527" w:type="pct"/>
                  <w:shd w:val="clear" w:color="auto" w:fill="auto"/>
                </w:tcPr>
                <w:p w:rsidR="00C40CC5" w:rsidRPr="00B226CC" w:rsidRDefault="00C40CC5" w:rsidP="009D36F2">
                  <w:pPr>
                    <w:spacing w:before="120" w:after="120"/>
                    <w:jc w:val="both"/>
                    <w:rPr>
                      <w:rFonts w:asciiTheme="minorHAnsi" w:eastAsiaTheme="minorHAnsi" w:hAnsiTheme="minorHAnsi" w:cs="Arial"/>
                      <w:bCs/>
                      <w:color w:val="000000"/>
                      <w:szCs w:val="22"/>
                    </w:rPr>
                  </w:pPr>
                  <w:r w:rsidRPr="00B226CC">
                    <w:rPr>
                      <w:rFonts w:asciiTheme="minorHAnsi" w:eastAsiaTheme="minorHAnsi" w:hAnsiTheme="minorHAnsi" w:cs="Arial"/>
                      <w:bCs/>
                      <w:color w:val="000000"/>
                      <w:sz w:val="22"/>
                      <w:szCs w:val="22"/>
                    </w:rPr>
                    <w:t>El ingreso nacional disponible neto (INDN) se define como el</w:t>
                  </w:r>
                </w:p>
                <w:p w:rsidR="00C40CC5" w:rsidRPr="004621F4" w:rsidRDefault="00C40CC5" w:rsidP="009D36F2">
                  <w:pPr>
                    <w:spacing w:before="120" w:after="120"/>
                    <w:jc w:val="both"/>
                    <w:rPr>
                      <w:rFonts w:asciiTheme="minorHAnsi" w:hAnsiTheme="minorHAnsi"/>
                      <w:b/>
                      <w:szCs w:val="22"/>
                    </w:rPr>
                  </w:pPr>
                  <w:proofErr w:type="gramStart"/>
                  <w:r w:rsidRPr="00B226CC">
                    <w:rPr>
                      <w:rFonts w:asciiTheme="minorHAnsi" w:eastAsiaTheme="minorHAnsi" w:hAnsiTheme="minorHAnsi" w:cs="Arial"/>
                      <w:bCs/>
                      <w:color w:val="000000"/>
                      <w:sz w:val="22"/>
                      <w:szCs w:val="22"/>
                    </w:rPr>
                    <w:t>ingreso</w:t>
                  </w:r>
                  <w:proofErr w:type="gramEnd"/>
                  <w:r w:rsidRPr="00B226CC">
                    <w:rPr>
                      <w:rFonts w:asciiTheme="minorHAnsi" w:eastAsiaTheme="minorHAnsi" w:hAnsiTheme="minorHAnsi" w:cs="Arial"/>
                      <w:bCs/>
                      <w:color w:val="000000"/>
                      <w:sz w:val="22"/>
                      <w:szCs w:val="22"/>
                    </w:rPr>
                    <w:t xml:space="preserve"> nacional neto (INN) más las transferencias</w:t>
                  </w:r>
                  <w:r>
                    <w:rPr>
                      <w:rFonts w:asciiTheme="minorHAnsi" w:eastAsiaTheme="minorHAnsi" w:hAnsiTheme="minorHAnsi" w:cs="Arial"/>
                      <w:bCs/>
                      <w:color w:val="000000"/>
                      <w:sz w:val="22"/>
                      <w:szCs w:val="22"/>
                    </w:rPr>
                    <w:t xml:space="preserve"> </w:t>
                  </w:r>
                  <w:r w:rsidRPr="00B226CC">
                    <w:rPr>
                      <w:rFonts w:asciiTheme="minorHAnsi" w:eastAsiaTheme="minorHAnsi" w:hAnsiTheme="minorHAnsi" w:cs="Arial"/>
                      <w:bCs/>
                      <w:color w:val="000000"/>
                      <w:sz w:val="22"/>
                      <w:szCs w:val="22"/>
                    </w:rPr>
                    <w:t>corrientes por cobrar del exterior menos las transferencias corrientes por pagar al exterior.</w:t>
                  </w:r>
                  <w:r>
                    <w:rPr>
                      <w:rFonts w:asciiTheme="minorHAnsi" w:eastAsiaTheme="minorHAnsi" w:hAnsiTheme="minorHAnsi" w:cs="Arial"/>
                      <w:bCs/>
                      <w:color w:val="000000"/>
                      <w:sz w:val="22"/>
                      <w:szCs w:val="22"/>
                    </w:rPr>
                    <w:t xml:space="preserve"> (SCN2008, 16.57)</w:t>
                  </w:r>
                </w:p>
              </w:tc>
            </w:tr>
            <w:tr w:rsidR="00C40CC5" w:rsidRPr="004621F4" w:rsidTr="009D36F2">
              <w:trPr>
                <w:trHeight w:val="156"/>
              </w:trPr>
              <w:tc>
                <w:tcPr>
                  <w:tcW w:w="501" w:type="pct"/>
                </w:tcPr>
                <w:p w:rsidR="00C40CC5" w:rsidRPr="004621F4" w:rsidRDefault="00C40CC5" w:rsidP="009D36F2">
                  <w:pPr>
                    <w:spacing w:before="120" w:after="120"/>
                    <w:rPr>
                      <w:rFonts w:asciiTheme="minorHAnsi" w:hAnsiTheme="minorHAnsi" w:cs="Calibri"/>
                      <w:b/>
                      <w:szCs w:val="22"/>
                    </w:rPr>
                  </w:pPr>
                  <w:r w:rsidRPr="004621F4">
                    <w:rPr>
                      <w:rFonts w:asciiTheme="minorHAnsi" w:hAnsiTheme="minorHAnsi" w:cs="Calibri"/>
                      <w:b/>
                      <w:sz w:val="22"/>
                      <w:szCs w:val="22"/>
                    </w:rPr>
                    <w:t>D.63</w:t>
                  </w:r>
                </w:p>
              </w:tc>
              <w:tc>
                <w:tcPr>
                  <w:tcW w:w="972" w:type="pct"/>
                </w:tcPr>
                <w:p w:rsidR="00C40CC5" w:rsidRPr="004621F4" w:rsidRDefault="00C40CC5" w:rsidP="009D36F2">
                  <w:pPr>
                    <w:spacing w:before="120" w:after="120"/>
                    <w:rPr>
                      <w:rFonts w:asciiTheme="minorHAnsi" w:hAnsiTheme="minorHAnsi" w:cs="Calibri"/>
                      <w:b/>
                      <w:szCs w:val="22"/>
                    </w:rPr>
                  </w:pPr>
                  <w:r w:rsidRPr="004621F4">
                    <w:rPr>
                      <w:rFonts w:asciiTheme="minorHAnsi" w:hAnsiTheme="minorHAnsi" w:cs="Calibri"/>
                      <w:b/>
                      <w:sz w:val="22"/>
                      <w:szCs w:val="22"/>
                    </w:rPr>
                    <w:t>Transferencias sociales en especie</w:t>
                  </w:r>
                </w:p>
              </w:tc>
              <w:tc>
                <w:tcPr>
                  <w:tcW w:w="3527" w:type="pct"/>
                  <w:shd w:val="clear" w:color="auto" w:fill="auto"/>
                </w:tcPr>
                <w:p w:rsidR="00C40CC5" w:rsidRPr="00B226CC" w:rsidRDefault="00C40CC5" w:rsidP="009D36F2">
                  <w:pPr>
                    <w:autoSpaceDE w:val="0"/>
                    <w:autoSpaceDN w:val="0"/>
                    <w:adjustRightInd w:val="0"/>
                    <w:rPr>
                      <w:rFonts w:asciiTheme="minorHAnsi" w:eastAsiaTheme="minorHAnsi" w:hAnsiTheme="minorHAnsi" w:cs="Arial"/>
                      <w:bCs/>
                      <w:color w:val="000000"/>
                      <w:szCs w:val="22"/>
                    </w:rPr>
                  </w:pPr>
                  <w:r w:rsidRPr="00B226CC">
                    <w:rPr>
                      <w:rFonts w:asciiTheme="minorHAnsi" w:eastAsiaTheme="minorHAnsi" w:hAnsiTheme="minorHAnsi" w:cs="Arial"/>
                      <w:bCs/>
                      <w:color w:val="000000"/>
                      <w:sz w:val="22"/>
                      <w:szCs w:val="22"/>
                    </w:rPr>
                    <w:t>Son bienes y servicios suministrados a los hogares por el gobierno y p</w:t>
                  </w:r>
                  <w:r>
                    <w:rPr>
                      <w:rFonts w:asciiTheme="minorHAnsi" w:eastAsiaTheme="minorHAnsi" w:hAnsiTheme="minorHAnsi" w:cs="Arial"/>
                      <w:bCs/>
                      <w:color w:val="000000"/>
                      <w:sz w:val="22"/>
                      <w:szCs w:val="22"/>
                    </w:rPr>
                    <w:t xml:space="preserve">or las ISFLSH en forma gratuita </w:t>
                  </w:r>
                  <w:r w:rsidRPr="00B226CC">
                    <w:rPr>
                      <w:rFonts w:asciiTheme="minorHAnsi" w:eastAsiaTheme="minorHAnsi" w:hAnsiTheme="minorHAnsi" w:cs="Arial"/>
                      <w:bCs/>
                      <w:color w:val="000000"/>
                      <w:sz w:val="22"/>
                      <w:szCs w:val="22"/>
                    </w:rPr>
                    <w:t>o a un precio económicamente no significativo</w:t>
                  </w:r>
                  <w:r>
                    <w:rPr>
                      <w:rFonts w:asciiTheme="minorHAnsi" w:eastAsiaTheme="minorHAnsi" w:hAnsiTheme="minorHAnsi" w:cs="Arial"/>
                      <w:bCs/>
                      <w:color w:val="000000"/>
                      <w:sz w:val="22"/>
                      <w:szCs w:val="22"/>
                    </w:rPr>
                    <w:t>.  (SCN2008, pág. 734)</w:t>
                  </w:r>
                </w:p>
              </w:tc>
            </w:tr>
            <w:tr w:rsidR="00C40CC5" w:rsidRPr="004621F4" w:rsidTr="009D36F2">
              <w:trPr>
                <w:trHeight w:val="156"/>
              </w:trPr>
              <w:tc>
                <w:tcPr>
                  <w:tcW w:w="501" w:type="pct"/>
                </w:tcPr>
                <w:p w:rsidR="00C40CC5" w:rsidRPr="004621F4" w:rsidRDefault="00C40CC5" w:rsidP="009D36F2">
                  <w:pPr>
                    <w:spacing w:before="120" w:after="120"/>
                    <w:rPr>
                      <w:rFonts w:asciiTheme="minorHAnsi" w:hAnsiTheme="minorHAnsi" w:cs="Calibri"/>
                      <w:b/>
                      <w:bCs/>
                      <w:szCs w:val="22"/>
                    </w:rPr>
                  </w:pPr>
                  <w:r w:rsidRPr="004621F4">
                    <w:rPr>
                      <w:rFonts w:asciiTheme="minorHAnsi" w:hAnsiTheme="minorHAnsi" w:cs="Calibri"/>
                      <w:b/>
                      <w:bCs/>
                      <w:sz w:val="22"/>
                      <w:szCs w:val="22"/>
                    </w:rPr>
                    <w:t>B.7b</w:t>
                  </w:r>
                </w:p>
              </w:tc>
              <w:tc>
                <w:tcPr>
                  <w:tcW w:w="972" w:type="pct"/>
                </w:tcPr>
                <w:p w:rsidR="00C40CC5" w:rsidRPr="004621F4" w:rsidRDefault="00C40CC5" w:rsidP="009D36F2">
                  <w:pPr>
                    <w:spacing w:before="120" w:after="120"/>
                    <w:rPr>
                      <w:rFonts w:asciiTheme="minorHAnsi" w:hAnsiTheme="minorHAnsi" w:cs="Calibri"/>
                      <w:b/>
                      <w:bCs/>
                      <w:szCs w:val="22"/>
                    </w:rPr>
                  </w:pPr>
                  <w:r w:rsidRPr="004621F4">
                    <w:rPr>
                      <w:rFonts w:asciiTheme="minorHAnsi" w:hAnsiTheme="minorHAnsi" w:cs="Calibri"/>
                      <w:b/>
                      <w:bCs/>
                      <w:sz w:val="22"/>
                      <w:szCs w:val="22"/>
                    </w:rPr>
                    <w:t>Ingreso nacional disponible ajustado bruto</w:t>
                  </w:r>
                </w:p>
              </w:tc>
              <w:tc>
                <w:tcPr>
                  <w:tcW w:w="3527" w:type="pct"/>
                  <w:shd w:val="clear" w:color="auto" w:fill="auto"/>
                </w:tcPr>
                <w:p w:rsidR="00C40CC5" w:rsidRPr="00E6444A" w:rsidRDefault="00C40CC5" w:rsidP="009D36F2">
                  <w:pPr>
                    <w:autoSpaceDE w:val="0"/>
                    <w:autoSpaceDN w:val="0"/>
                    <w:adjustRightInd w:val="0"/>
                    <w:jc w:val="both"/>
                    <w:rPr>
                      <w:rFonts w:asciiTheme="minorHAnsi" w:eastAsiaTheme="minorHAnsi" w:hAnsiTheme="minorHAnsi" w:cs="Arial"/>
                      <w:bCs/>
                      <w:color w:val="000000"/>
                      <w:szCs w:val="22"/>
                    </w:rPr>
                  </w:pPr>
                  <w:r w:rsidRPr="00E6444A">
                    <w:rPr>
                      <w:rFonts w:asciiTheme="minorHAnsi" w:eastAsiaTheme="minorHAnsi" w:hAnsiTheme="minorHAnsi" w:cs="Arial"/>
                      <w:bCs/>
                      <w:color w:val="000000"/>
                      <w:sz w:val="22"/>
                      <w:szCs w:val="22"/>
                    </w:rPr>
                    <w:t xml:space="preserve">El ingreso disponible ajustado es el saldo contable de la cuenta de redistribución del ingreso en especie. Se </w:t>
                  </w:r>
                  <w:r>
                    <w:rPr>
                      <w:rFonts w:asciiTheme="minorHAnsi" w:eastAsiaTheme="minorHAnsi" w:hAnsiTheme="minorHAnsi" w:cs="Arial"/>
                      <w:bCs/>
                      <w:color w:val="000000"/>
                      <w:sz w:val="22"/>
                      <w:szCs w:val="22"/>
                    </w:rPr>
                    <w:t xml:space="preserve">obtiene a partir del </w:t>
                  </w:r>
                  <w:r w:rsidRPr="00E6444A">
                    <w:rPr>
                      <w:rFonts w:asciiTheme="minorHAnsi" w:eastAsiaTheme="minorHAnsi" w:hAnsiTheme="minorHAnsi" w:cs="Arial"/>
                      <w:bCs/>
                      <w:color w:val="000000"/>
                      <w:sz w:val="22"/>
                      <w:szCs w:val="22"/>
                    </w:rPr>
                    <w:t>ing</w:t>
                  </w:r>
                  <w:r>
                    <w:rPr>
                      <w:rFonts w:asciiTheme="minorHAnsi" w:eastAsiaTheme="minorHAnsi" w:hAnsiTheme="minorHAnsi" w:cs="Arial"/>
                      <w:bCs/>
                      <w:color w:val="000000"/>
                      <w:sz w:val="22"/>
                      <w:szCs w:val="22"/>
                    </w:rPr>
                    <w:t xml:space="preserve">reso disponible de una unidad o </w:t>
                  </w:r>
                  <w:r w:rsidRPr="00E6444A">
                    <w:rPr>
                      <w:rFonts w:asciiTheme="minorHAnsi" w:eastAsiaTheme="minorHAnsi" w:hAnsiTheme="minorHAnsi" w:cs="Arial"/>
                      <w:bCs/>
                      <w:color w:val="000000"/>
                      <w:sz w:val="22"/>
                      <w:szCs w:val="22"/>
                    </w:rPr>
                    <w:t>sector institucional:</w:t>
                  </w:r>
                </w:p>
                <w:p w:rsidR="00C40CC5" w:rsidRPr="00E6444A" w:rsidRDefault="00C40CC5" w:rsidP="009D36F2">
                  <w:pPr>
                    <w:autoSpaceDE w:val="0"/>
                    <w:autoSpaceDN w:val="0"/>
                    <w:adjustRightInd w:val="0"/>
                    <w:jc w:val="both"/>
                    <w:rPr>
                      <w:rFonts w:asciiTheme="minorHAnsi" w:eastAsiaTheme="minorHAnsi" w:hAnsiTheme="minorHAnsi" w:cs="Arial"/>
                      <w:bCs/>
                      <w:color w:val="000000"/>
                      <w:szCs w:val="22"/>
                    </w:rPr>
                  </w:pPr>
                  <w:r w:rsidRPr="00E6444A">
                    <w:rPr>
                      <w:rFonts w:asciiTheme="minorHAnsi" w:eastAsiaTheme="minorHAnsi" w:hAnsiTheme="minorHAnsi" w:cs="Arial"/>
                      <w:bCs/>
                      <w:color w:val="000000"/>
                      <w:sz w:val="22"/>
                      <w:szCs w:val="22"/>
                    </w:rPr>
                    <w:t>a. sumando el valor de</w:t>
                  </w:r>
                  <w:r>
                    <w:rPr>
                      <w:rFonts w:asciiTheme="minorHAnsi" w:eastAsiaTheme="minorHAnsi" w:hAnsiTheme="minorHAnsi" w:cs="Arial"/>
                      <w:bCs/>
                      <w:color w:val="000000"/>
                      <w:sz w:val="22"/>
                      <w:szCs w:val="22"/>
                    </w:rPr>
                    <w:t xml:space="preserve"> las transferencias sociales en </w:t>
                  </w:r>
                  <w:r w:rsidRPr="00E6444A">
                    <w:rPr>
                      <w:rFonts w:asciiTheme="minorHAnsi" w:eastAsiaTheme="minorHAnsi" w:hAnsiTheme="minorHAnsi" w:cs="Arial"/>
                      <w:bCs/>
                      <w:color w:val="000000"/>
                      <w:sz w:val="22"/>
                      <w:szCs w:val="22"/>
                    </w:rPr>
                    <w:t>especie a recibir por dicha unidad o sector; y</w:t>
                  </w:r>
                </w:p>
                <w:p w:rsidR="00C40CC5" w:rsidRPr="00E6444A" w:rsidRDefault="00C40CC5" w:rsidP="009D36F2">
                  <w:pPr>
                    <w:autoSpaceDE w:val="0"/>
                    <w:autoSpaceDN w:val="0"/>
                    <w:adjustRightInd w:val="0"/>
                    <w:jc w:val="both"/>
                    <w:rPr>
                      <w:rFonts w:asciiTheme="minorHAnsi" w:eastAsiaTheme="minorHAnsi" w:hAnsiTheme="minorHAnsi" w:cs="Arial"/>
                      <w:bCs/>
                      <w:color w:val="000000"/>
                      <w:szCs w:val="22"/>
                    </w:rPr>
                  </w:pPr>
                  <w:r w:rsidRPr="00E6444A">
                    <w:rPr>
                      <w:rFonts w:asciiTheme="minorHAnsi" w:eastAsiaTheme="minorHAnsi" w:hAnsiTheme="minorHAnsi" w:cs="Arial"/>
                      <w:bCs/>
                      <w:color w:val="000000"/>
                      <w:sz w:val="22"/>
                      <w:szCs w:val="22"/>
                    </w:rPr>
                    <w:t>b. restando el valor de</w:t>
                  </w:r>
                  <w:r>
                    <w:rPr>
                      <w:rFonts w:asciiTheme="minorHAnsi" w:eastAsiaTheme="minorHAnsi" w:hAnsiTheme="minorHAnsi" w:cs="Arial"/>
                      <w:bCs/>
                      <w:color w:val="000000"/>
                      <w:sz w:val="22"/>
                      <w:szCs w:val="22"/>
                    </w:rPr>
                    <w:t xml:space="preserve"> las transferencias sociales en </w:t>
                  </w:r>
                  <w:r w:rsidRPr="00E6444A">
                    <w:rPr>
                      <w:rFonts w:asciiTheme="minorHAnsi" w:eastAsiaTheme="minorHAnsi" w:hAnsiTheme="minorHAnsi" w:cs="Arial"/>
                      <w:bCs/>
                      <w:color w:val="000000"/>
                      <w:sz w:val="22"/>
                      <w:szCs w:val="22"/>
                    </w:rPr>
                    <w:t>especie a pagar por esa unidad o sector.</w:t>
                  </w:r>
                </w:p>
                <w:p w:rsidR="00C40CC5" w:rsidRPr="00E6444A" w:rsidRDefault="00C40CC5" w:rsidP="009D36F2">
                  <w:pPr>
                    <w:autoSpaceDE w:val="0"/>
                    <w:autoSpaceDN w:val="0"/>
                    <w:adjustRightInd w:val="0"/>
                    <w:jc w:val="both"/>
                    <w:rPr>
                      <w:rFonts w:asciiTheme="minorHAnsi" w:eastAsiaTheme="minorHAnsi" w:hAnsiTheme="minorHAnsi" w:cs="Arial"/>
                      <w:bCs/>
                      <w:color w:val="000000"/>
                      <w:szCs w:val="22"/>
                    </w:rPr>
                  </w:pPr>
                  <w:r w:rsidRPr="00E6444A">
                    <w:rPr>
                      <w:rFonts w:asciiTheme="minorHAnsi" w:eastAsiaTheme="minorHAnsi" w:hAnsiTheme="minorHAnsi" w:cs="Arial"/>
                      <w:bCs/>
                      <w:color w:val="000000"/>
                      <w:sz w:val="22"/>
                      <w:szCs w:val="22"/>
                    </w:rPr>
                    <w:t>El ingreso disponible aj</w:t>
                  </w:r>
                  <w:r>
                    <w:rPr>
                      <w:rFonts w:asciiTheme="minorHAnsi" w:eastAsiaTheme="minorHAnsi" w:hAnsiTheme="minorHAnsi" w:cs="Arial"/>
                      <w:bCs/>
                      <w:color w:val="000000"/>
                      <w:sz w:val="22"/>
                      <w:szCs w:val="22"/>
                    </w:rPr>
                    <w:t xml:space="preserve">ustado, al igual que el ingreso </w:t>
                  </w:r>
                  <w:r w:rsidRPr="00E6444A">
                    <w:rPr>
                      <w:rFonts w:asciiTheme="minorHAnsi" w:eastAsiaTheme="minorHAnsi" w:hAnsiTheme="minorHAnsi" w:cs="Arial"/>
                      <w:bCs/>
                      <w:color w:val="000000"/>
                      <w:sz w:val="22"/>
                      <w:szCs w:val="22"/>
                    </w:rPr>
                    <w:t>disponible, puede regis</w:t>
                  </w:r>
                  <w:r>
                    <w:rPr>
                      <w:rFonts w:asciiTheme="minorHAnsi" w:eastAsiaTheme="minorHAnsi" w:hAnsiTheme="minorHAnsi" w:cs="Arial"/>
                      <w:bCs/>
                      <w:color w:val="000000"/>
                      <w:sz w:val="22"/>
                      <w:szCs w:val="22"/>
                    </w:rPr>
                    <w:t xml:space="preserve">trarse bruto o neto del consumo </w:t>
                  </w:r>
                  <w:r w:rsidRPr="00E6444A">
                    <w:rPr>
                      <w:rFonts w:asciiTheme="minorHAnsi" w:eastAsiaTheme="minorHAnsi" w:hAnsiTheme="minorHAnsi" w:cs="Arial"/>
                      <w:bCs/>
                      <w:color w:val="000000"/>
                      <w:sz w:val="22"/>
                      <w:szCs w:val="22"/>
                    </w:rPr>
                    <w:t>de capital fijo. Dado que</w:t>
                  </w:r>
                  <w:r>
                    <w:rPr>
                      <w:rFonts w:asciiTheme="minorHAnsi" w:eastAsiaTheme="minorHAnsi" w:hAnsiTheme="minorHAnsi" w:cs="Arial"/>
                      <w:bCs/>
                      <w:color w:val="000000"/>
                      <w:sz w:val="22"/>
                      <w:szCs w:val="22"/>
                    </w:rPr>
                    <w:t xml:space="preserve"> las unidades del gobierno y de </w:t>
                  </w:r>
                  <w:r w:rsidRPr="00E6444A">
                    <w:rPr>
                      <w:rFonts w:asciiTheme="minorHAnsi" w:eastAsiaTheme="minorHAnsi" w:hAnsiTheme="minorHAnsi" w:cs="Arial"/>
                      <w:bCs/>
                      <w:color w:val="000000"/>
                      <w:sz w:val="22"/>
                      <w:szCs w:val="22"/>
                    </w:rPr>
                    <w:t xml:space="preserve">las ISFLSH </w:t>
                  </w:r>
                  <w:r>
                    <w:rPr>
                      <w:rFonts w:asciiTheme="minorHAnsi" w:eastAsiaTheme="minorHAnsi" w:hAnsiTheme="minorHAnsi" w:cs="Arial"/>
                      <w:bCs/>
                      <w:color w:val="000000"/>
                      <w:sz w:val="22"/>
                      <w:szCs w:val="22"/>
                    </w:rPr>
                    <w:t xml:space="preserve">son las únicas que pueden pagar </w:t>
                  </w:r>
                  <w:r w:rsidRPr="00E6444A">
                    <w:rPr>
                      <w:rFonts w:asciiTheme="minorHAnsi" w:eastAsiaTheme="minorHAnsi" w:hAnsiTheme="minorHAnsi" w:cs="Arial"/>
                      <w:bCs/>
                      <w:color w:val="000000"/>
                      <w:sz w:val="22"/>
                      <w:szCs w:val="22"/>
                    </w:rPr>
                    <w:t>transferencias sociales en especie y los hogares los</w:t>
                  </w:r>
                </w:p>
                <w:p w:rsidR="00C40CC5" w:rsidRPr="00E6444A" w:rsidRDefault="00C40CC5" w:rsidP="009D36F2">
                  <w:pPr>
                    <w:autoSpaceDE w:val="0"/>
                    <w:autoSpaceDN w:val="0"/>
                    <w:adjustRightInd w:val="0"/>
                    <w:jc w:val="both"/>
                    <w:rPr>
                      <w:rFonts w:asciiTheme="minorHAnsi" w:eastAsiaTheme="minorHAnsi" w:hAnsiTheme="minorHAnsi" w:cs="Arial"/>
                      <w:bCs/>
                      <w:color w:val="000000"/>
                      <w:szCs w:val="22"/>
                    </w:rPr>
                  </w:pPr>
                  <w:proofErr w:type="gramStart"/>
                  <w:r w:rsidRPr="00E6444A">
                    <w:rPr>
                      <w:rFonts w:asciiTheme="minorHAnsi" w:eastAsiaTheme="minorHAnsi" w:hAnsiTheme="minorHAnsi" w:cs="Arial"/>
                      <w:bCs/>
                      <w:color w:val="000000"/>
                      <w:sz w:val="22"/>
                      <w:szCs w:val="22"/>
                    </w:rPr>
                    <w:t>únicos</w:t>
                  </w:r>
                  <w:proofErr w:type="gramEnd"/>
                  <w:r w:rsidRPr="00E6444A">
                    <w:rPr>
                      <w:rFonts w:asciiTheme="minorHAnsi" w:eastAsiaTheme="minorHAnsi" w:hAnsiTheme="minorHAnsi" w:cs="Arial"/>
                      <w:bCs/>
                      <w:color w:val="000000"/>
                      <w:sz w:val="22"/>
                      <w:szCs w:val="22"/>
                    </w:rPr>
                    <w:t xml:space="preserve"> que pueden cobrarlas, se deduce que los ingr</w:t>
                  </w:r>
                  <w:r>
                    <w:rPr>
                      <w:rFonts w:asciiTheme="minorHAnsi" w:eastAsiaTheme="minorHAnsi" w:hAnsiTheme="minorHAnsi" w:cs="Arial"/>
                      <w:bCs/>
                      <w:color w:val="000000"/>
                      <w:sz w:val="22"/>
                      <w:szCs w:val="22"/>
                    </w:rPr>
                    <w:t xml:space="preserve">esos </w:t>
                  </w:r>
                  <w:r w:rsidRPr="00E6444A">
                    <w:rPr>
                      <w:rFonts w:asciiTheme="minorHAnsi" w:eastAsiaTheme="minorHAnsi" w:hAnsiTheme="minorHAnsi" w:cs="Arial"/>
                      <w:bCs/>
                      <w:color w:val="000000"/>
                      <w:sz w:val="22"/>
                      <w:szCs w:val="22"/>
                    </w:rPr>
                    <w:t>disponibles ajustad</w:t>
                  </w:r>
                  <w:r>
                    <w:rPr>
                      <w:rFonts w:asciiTheme="minorHAnsi" w:eastAsiaTheme="minorHAnsi" w:hAnsiTheme="minorHAnsi" w:cs="Arial"/>
                      <w:bCs/>
                      <w:color w:val="000000"/>
                      <w:sz w:val="22"/>
                      <w:szCs w:val="22"/>
                    </w:rPr>
                    <w:t xml:space="preserve">os de los sectores del gobierno </w:t>
                  </w:r>
                  <w:r w:rsidRPr="00E6444A">
                    <w:rPr>
                      <w:rFonts w:asciiTheme="minorHAnsi" w:eastAsiaTheme="minorHAnsi" w:hAnsiTheme="minorHAnsi" w:cs="Arial"/>
                      <w:bCs/>
                      <w:color w:val="000000"/>
                      <w:sz w:val="22"/>
                      <w:szCs w:val="22"/>
                    </w:rPr>
                    <w:t>general y de las ISFL</w:t>
                  </w:r>
                  <w:r>
                    <w:rPr>
                      <w:rFonts w:asciiTheme="minorHAnsi" w:eastAsiaTheme="minorHAnsi" w:hAnsiTheme="minorHAnsi" w:cs="Arial"/>
                      <w:bCs/>
                      <w:color w:val="000000"/>
                      <w:sz w:val="22"/>
                      <w:szCs w:val="22"/>
                    </w:rPr>
                    <w:t xml:space="preserve">SH son menores que sus ingresos </w:t>
                  </w:r>
                  <w:r w:rsidRPr="00E6444A">
                    <w:rPr>
                      <w:rFonts w:asciiTheme="minorHAnsi" w:eastAsiaTheme="minorHAnsi" w:hAnsiTheme="minorHAnsi" w:cs="Arial"/>
                      <w:bCs/>
                      <w:color w:val="000000"/>
                      <w:sz w:val="22"/>
                      <w:szCs w:val="22"/>
                    </w:rPr>
                    <w:t>disponibles, mientras que</w:t>
                  </w:r>
                  <w:r>
                    <w:rPr>
                      <w:rFonts w:asciiTheme="minorHAnsi" w:eastAsiaTheme="minorHAnsi" w:hAnsiTheme="minorHAnsi" w:cs="Arial"/>
                      <w:bCs/>
                      <w:color w:val="000000"/>
                      <w:sz w:val="22"/>
                      <w:szCs w:val="22"/>
                    </w:rPr>
                    <w:t xml:space="preserve"> el ingreso disponible ajustado </w:t>
                  </w:r>
                  <w:r w:rsidRPr="00E6444A">
                    <w:rPr>
                      <w:rFonts w:asciiTheme="minorHAnsi" w:eastAsiaTheme="minorHAnsi" w:hAnsiTheme="minorHAnsi" w:cs="Arial"/>
                      <w:bCs/>
                      <w:color w:val="000000"/>
                      <w:sz w:val="22"/>
                      <w:szCs w:val="22"/>
                    </w:rPr>
                    <w:t>del sector de los h</w:t>
                  </w:r>
                  <w:r>
                    <w:rPr>
                      <w:rFonts w:asciiTheme="minorHAnsi" w:eastAsiaTheme="minorHAnsi" w:hAnsiTheme="minorHAnsi" w:cs="Arial"/>
                      <w:bCs/>
                      <w:color w:val="000000"/>
                      <w:sz w:val="22"/>
                      <w:szCs w:val="22"/>
                    </w:rPr>
                    <w:t xml:space="preserve">ogares es superior a su ingreso </w:t>
                  </w:r>
                  <w:r w:rsidRPr="00E6444A">
                    <w:rPr>
                      <w:rFonts w:asciiTheme="minorHAnsi" w:eastAsiaTheme="minorHAnsi" w:hAnsiTheme="minorHAnsi" w:cs="Arial"/>
                      <w:bCs/>
                      <w:color w:val="000000"/>
                      <w:sz w:val="22"/>
                      <w:szCs w:val="22"/>
                    </w:rPr>
                    <w:t>disponible. En ambos casos, el valor de la diferencia es</w:t>
                  </w:r>
                </w:p>
                <w:p w:rsidR="00C40CC5" w:rsidRPr="00E6444A" w:rsidRDefault="00C40CC5" w:rsidP="009D36F2">
                  <w:pPr>
                    <w:autoSpaceDE w:val="0"/>
                    <w:autoSpaceDN w:val="0"/>
                    <w:adjustRightInd w:val="0"/>
                    <w:jc w:val="both"/>
                    <w:rPr>
                      <w:rFonts w:asciiTheme="minorHAnsi" w:eastAsiaTheme="minorHAnsi" w:hAnsiTheme="minorHAnsi" w:cs="Arial"/>
                      <w:bCs/>
                      <w:color w:val="000000"/>
                      <w:szCs w:val="22"/>
                    </w:rPr>
                  </w:pPr>
                  <w:proofErr w:type="gramStart"/>
                  <w:r w:rsidRPr="00E6444A">
                    <w:rPr>
                      <w:rFonts w:asciiTheme="minorHAnsi" w:eastAsiaTheme="minorHAnsi" w:hAnsiTheme="minorHAnsi" w:cs="Arial"/>
                      <w:bCs/>
                      <w:color w:val="000000"/>
                      <w:sz w:val="22"/>
                      <w:szCs w:val="22"/>
                    </w:rPr>
                    <w:t>igual</w:t>
                  </w:r>
                  <w:proofErr w:type="gramEnd"/>
                  <w:r w:rsidRPr="00E6444A">
                    <w:rPr>
                      <w:rFonts w:asciiTheme="minorHAnsi" w:eastAsiaTheme="minorHAnsi" w:hAnsiTheme="minorHAnsi" w:cs="Arial"/>
                      <w:bCs/>
                      <w:color w:val="000000"/>
                      <w:sz w:val="22"/>
                      <w:szCs w:val="22"/>
                    </w:rPr>
                    <w:t xml:space="preserve"> al valor total de</w:t>
                  </w:r>
                  <w:r>
                    <w:rPr>
                      <w:rFonts w:asciiTheme="minorHAnsi" w:eastAsiaTheme="minorHAnsi" w:hAnsiTheme="minorHAnsi" w:cs="Arial"/>
                      <w:bCs/>
                      <w:color w:val="000000"/>
                      <w:sz w:val="22"/>
                      <w:szCs w:val="22"/>
                    </w:rPr>
                    <w:t xml:space="preserve"> las transferencias sociales en </w:t>
                  </w:r>
                  <w:r w:rsidRPr="00E6444A">
                    <w:rPr>
                      <w:rFonts w:asciiTheme="minorHAnsi" w:eastAsiaTheme="minorHAnsi" w:hAnsiTheme="minorHAnsi" w:cs="Arial"/>
                      <w:bCs/>
                      <w:color w:val="000000"/>
                      <w:sz w:val="22"/>
                      <w:szCs w:val="22"/>
                    </w:rPr>
                    <w:t>especie por lo que el ingr</w:t>
                  </w:r>
                  <w:r>
                    <w:rPr>
                      <w:rFonts w:asciiTheme="minorHAnsi" w:eastAsiaTheme="minorHAnsi" w:hAnsiTheme="minorHAnsi" w:cs="Arial"/>
                      <w:bCs/>
                      <w:color w:val="000000"/>
                      <w:sz w:val="22"/>
                      <w:szCs w:val="22"/>
                    </w:rPr>
                    <w:t xml:space="preserve">eso disponible ajustado para la </w:t>
                  </w:r>
                  <w:r w:rsidRPr="00E6444A">
                    <w:rPr>
                      <w:rFonts w:asciiTheme="minorHAnsi" w:eastAsiaTheme="minorHAnsi" w:hAnsiTheme="minorHAnsi" w:cs="Arial"/>
                      <w:bCs/>
                      <w:color w:val="000000"/>
                      <w:sz w:val="22"/>
                      <w:szCs w:val="22"/>
                    </w:rPr>
                    <w:t>economía total es igual que su ingreso disponible.</w:t>
                  </w:r>
                  <w:r>
                    <w:rPr>
                      <w:rFonts w:asciiTheme="minorHAnsi" w:eastAsiaTheme="minorHAnsi" w:hAnsiTheme="minorHAnsi" w:cs="Arial"/>
                      <w:bCs/>
                      <w:color w:val="000000"/>
                      <w:sz w:val="22"/>
                      <w:szCs w:val="22"/>
                    </w:rPr>
                    <w:t xml:space="preserve"> (SCN2008, 8.34)</w:t>
                  </w:r>
                </w:p>
              </w:tc>
            </w:tr>
            <w:tr w:rsidR="00C40CC5" w:rsidRPr="004621F4" w:rsidTr="009D36F2">
              <w:trPr>
                <w:trHeight w:val="156"/>
              </w:trPr>
              <w:tc>
                <w:tcPr>
                  <w:tcW w:w="501" w:type="pct"/>
                </w:tcPr>
                <w:p w:rsidR="00C40CC5" w:rsidRPr="004621F4" w:rsidRDefault="00C40CC5" w:rsidP="009D36F2">
                  <w:pPr>
                    <w:spacing w:before="120" w:after="120"/>
                    <w:rPr>
                      <w:rFonts w:asciiTheme="minorHAnsi" w:hAnsiTheme="minorHAnsi" w:cs="Calibri"/>
                      <w:b/>
                      <w:bCs/>
                      <w:szCs w:val="22"/>
                    </w:rPr>
                  </w:pPr>
                  <w:r w:rsidRPr="004621F4">
                    <w:rPr>
                      <w:rFonts w:asciiTheme="minorHAnsi" w:hAnsiTheme="minorHAnsi" w:cs="Calibri"/>
                      <w:b/>
                      <w:bCs/>
                      <w:sz w:val="22"/>
                      <w:szCs w:val="22"/>
                    </w:rPr>
                    <w:t xml:space="preserve">B.7n </w:t>
                  </w:r>
                </w:p>
              </w:tc>
              <w:tc>
                <w:tcPr>
                  <w:tcW w:w="972" w:type="pct"/>
                </w:tcPr>
                <w:p w:rsidR="00C40CC5" w:rsidRPr="004621F4" w:rsidRDefault="00C40CC5" w:rsidP="009D36F2">
                  <w:pPr>
                    <w:spacing w:before="120" w:after="120"/>
                    <w:rPr>
                      <w:rFonts w:asciiTheme="minorHAnsi" w:hAnsiTheme="minorHAnsi" w:cs="Calibri"/>
                      <w:b/>
                      <w:bCs/>
                      <w:szCs w:val="22"/>
                    </w:rPr>
                  </w:pPr>
                  <w:r w:rsidRPr="004621F4">
                    <w:rPr>
                      <w:rFonts w:asciiTheme="minorHAnsi" w:hAnsiTheme="minorHAnsi" w:cs="Calibri"/>
                      <w:b/>
                      <w:bCs/>
                      <w:sz w:val="22"/>
                      <w:szCs w:val="22"/>
                    </w:rPr>
                    <w:t>Ingreso nacional disponible ajustado neto</w:t>
                  </w:r>
                </w:p>
              </w:tc>
              <w:tc>
                <w:tcPr>
                  <w:tcW w:w="3527" w:type="pct"/>
                  <w:shd w:val="clear" w:color="auto" w:fill="auto"/>
                </w:tcPr>
                <w:p w:rsidR="00C40CC5" w:rsidRPr="00E6444A" w:rsidRDefault="00C40CC5" w:rsidP="009D36F2">
                  <w:pPr>
                    <w:autoSpaceDE w:val="0"/>
                    <w:autoSpaceDN w:val="0"/>
                    <w:adjustRightInd w:val="0"/>
                    <w:jc w:val="both"/>
                    <w:rPr>
                      <w:rFonts w:asciiTheme="minorHAnsi" w:eastAsiaTheme="minorHAnsi" w:hAnsiTheme="minorHAnsi" w:cs="Arial"/>
                      <w:bCs/>
                      <w:color w:val="000000"/>
                      <w:szCs w:val="22"/>
                    </w:rPr>
                  </w:pPr>
                  <w:r w:rsidRPr="00E6444A">
                    <w:rPr>
                      <w:rFonts w:asciiTheme="minorHAnsi" w:eastAsiaTheme="minorHAnsi" w:hAnsiTheme="minorHAnsi" w:cs="Arial"/>
                      <w:bCs/>
                      <w:color w:val="000000"/>
                      <w:sz w:val="22"/>
                      <w:szCs w:val="22"/>
                    </w:rPr>
                    <w:t xml:space="preserve">El ingreso disponible ajustado es el saldo contable de la cuenta de redistribución del ingreso en especie. Se </w:t>
                  </w:r>
                  <w:r>
                    <w:rPr>
                      <w:rFonts w:asciiTheme="minorHAnsi" w:eastAsiaTheme="minorHAnsi" w:hAnsiTheme="minorHAnsi" w:cs="Arial"/>
                      <w:bCs/>
                      <w:color w:val="000000"/>
                      <w:sz w:val="22"/>
                      <w:szCs w:val="22"/>
                    </w:rPr>
                    <w:t xml:space="preserve">obtiene a partir del </w:t>
                  </w:r>
                  <w:r w:rsidRPr="00E6444A">
                    <w:rPr>
                      <w:rFonts w:asciiTheme="minorHAnsi" w:eastAsiaTheme="minorHAnsi" w:hAnsiTheme="minorHAnsi" w:cs="Arial"/>
                      <w:bCs/>
                      <w:color w:val="000000"/>
                      <w:sz w:val="22"/>
                      <w:szCs w:val="22"/>
                    </w:rPr>
                    <w:t>ing</w:t>
                  </w:r>
                  <w:r>
                    <w:rPr>
                      <w:rFonts w:asciiTheme="minorHAnsi" w:eastAsiaTheme="minorHAnsi" w:hAnsiTheme="minorHAnsi" w:cs="Arial"/>
                      <w:bCs/>
                      <w:color w:val="000000"/>
                      <w:sz w:val="22"/>
                      <w:szCs w:val="22"/>
                    </w:rPr>
                    <w:t xml:space="preserve">reso disponible de una unidad o </w:t>
                  </w:r>
                  <w:r w:rsidRPr="00E6444A">
                    <w:rPr>
                      <w:rFonts w:asciiTheme="minorHAnsi" w:eastAsiaTheme="minorHAnsi" w:hAnsiTheme="minorHAnsi" w:cs="Arial"/>
                      <w:bCs/>
                      <w:color w:val="000000"/>
                      <w:sz w:val="22"/>
                      <w:szCs w:val="22"/>
                    </w:rPr>
                    <w:t>sector institucional:</w:t>
                  </w:r>
                </w:p>
                <w:p w:rsidR="00C40CC5" w:rsidRPr="00E6444A" w:rsidRDefault="00C40CC5" w:rsidP="009D36F2">
                  <w:pPr>
                    <w:autoSpaceDE w:val="0"/>
                    <w:autoSpaceDN w:val="0"/>
                    <w:adjustRightInd w:val="0"/>
                    <w:jc w:val="both"/>
                    <w:rPr>
                      <w:rFonts w:asciiTheme="minorHAnsi" w:eastAsiaTheme="minorHAnsi" w:hAnsiTheme="minorHAnsi" w:cs="Arial"/>
                      <w:bCs/>
                      <w:color w:val="000000"/>
                      <w:szCs w:val="22"/>
                    </w:rPr>
                  </w:pPr>
                  <w:r w:rsidRPr="00E6444A">
                    <w:rPr>
                      <w:rFonts w:asciiTheme="minorHAnsi" w:eastAsiaTheme="minorHAnsi" w:hAnsiTheme="minorHAnsi" w:cs="Arial"/>
                      <w:bCs/>
                      <w:color w:val="000000"/>
                      <w:sz w:val="22"/>
                      <w:szCs w:val="22"/>
                    </w:rPr>
                    <w:t>a. sumando el valor de</w:t>
                  </w:r>
                  <w:r>
                    <w:rPr>
                      <w:rFonts w:asciiTheme="minorHAnsi" w:eastAsiaTheme="minorHAnsi" w:hAnsiTheme="minorHAnsi" w:cs="Arial"/>
                      <w:bCs/>
                      <w:color w:val="000000"/>
                      <w:sz w:val="22"/>
                      <w:szCs w:val="22"/>
                    </w:rPr>
                    <w:t xml:space="preserve"> las transferencias sociales en </w:t>
                  </w:r>
                  <w:r w:rsidRPr="00E6444A">
                    <w:rPr>
                      <w:rFonts w:asciiTheme="minorHAnsi" w:eastAsiaTheme="minorHAnsi" w:hAnsiTheme="minorHAnsi" w:cs="Arial"/>
                      <w:bCs/>
                      <w:color w:val="000000"/>
                      <w:sz w:val="22"/>
                      <w:szCs w:val="22"/>
                    </w:rPr>
                    <w:t>especie a recibir por dicha unidad o sector; y</w:t>
                  </w:r>
                </w:p>
                <w:p w:rsidR="00C40CC5" w:rsidRPr="00E6444A" w:rsidRDefault="00C40CC5" w:rsidP="009D36F2">
                  <w:pPr>
                    <w:autoSpaceDE w:val="0"/>
                    <w:autoSpaceDN w:val="0"/>
                    <w:adjustRightInd w:val="0"/>
                    <w:jc w:val="both"/>
                    <w:rPr>
                      <w:rFonts w:asciiTheme="minorHAnsi" w:eastAsiaTheme="minorHAnsi" w:hAnsiTheme="minorHAnsi" w:cs="Arial"/>
                      <w:bCs/>
                      <w:color w:val="000000"/>
                      <w:szCs w:val="22"/>
                    </w:rPr>
                  </w:pPr>
                  <w:r w:rsidRPr="00E6444A">
                    <w:rPr>
                      <w:rFonts w:asciiTheme="minorHAnsi" w:eastAsiaTheme="minorHAnsi" w:hAnsiTheme="minorHAnsi" w:cs="Arial"/>
                      <w:bCs/>
                      <w:color w:val="000000"/>
                      <w:sz w:val="22"/>
                      <w:szCs w:val="22"/>
                    </w:rPr>
                    <w:t>b. restando el valor de</w:t>
                  </w:r>
                  <w:r>
                    <w:rPr>
                      <w:rFonts w:asciiTheme="minorHAnsi" w:eastAsiaTheme="minorHAnsi" w:hAnsiTheme="minorHAnsi" w:cs="Arial"/>
                      <w:bCs/>
                      <w:color w:val="000000"/>
                      <w:sz w:val="22"/>
                      <w:szCs w:val="22"/>
                    </w:rPr>
                    <w:t xml:space="preserve"> las transferencias sociales en </w:t>
                  </w:r>
                  <w:r w:rsidRPr="00E6444A">
                    <w:rPr>
                      <w:rFonts w:asciiTheme="minorHAnsi" w:eastAsiaTheme="minorHAnsi" w:hAnsiTheme="minorHAnsi" w:cs="Arial"/>
                      <w:bCs/>
                      <w:color w:val="000000"/>
                      <w:sz w:val="22"/>
                      <w:szCs w:val="22"/>
                    </w:rPr>
                    <w:t>especie a pagar por esa unidad o sector.</w:t>
                  </w:r>
                </w:p>
                <w:p w:rsidR="00C40CC5" w:rsidRPr="00E6444A" w:rsidRDefault="00C40CC5" w:rsidP="009D36F2">
                  <w:pPr>
                    <w:autoSpaceDE w:val="0"/>
                    <w:autoSpaceDN w:val="0"/>
                    <w:adjustRightInd w:val="0"/>
                    <w:jc w:val="both"/>
                    <w:rPr>
                      <w:rFonts w:asciiTheme="minorHAnsi" w:eastAsiaTheme="minorHAnsi" w:hAnsiTheme="minorHAnsi" w:cs="Arial"/>
                      <w:bCs/>
                      <w:color w:val="000000"/>
                      <w:szCs w:val="22"/>
                    </w:rPr>
                  </w:pPr>
                  <w:r w:rsidRPr="00E6444A">
                    <w:rPr>
                      <w:rFonts w:asciiTheme="minorHAnsi" w:eastAsiaTheme="minorHAnsi" w:hAnsiTheme="minorHAnsi" w:cs="Arial"/>
                      <w:bCs/>
                      <w:color w:val="000000"/>
                      <w:sz w:val="22"/>
                      <w:szCs w:val="22"/>
                    </w:rPr>
                    <w:t>El ingreso disponible aj</w:t>
                  </w:r>
                  <w:r>
                    <w:rPr>
                      <w:rFonts w:asciiTheme="minorHAnsi" w:eastAsiaTheme="minorHAnsi" w:hAnsiTheme="minorHAnsi" w:cs="Arial"/>
                      <w:bCs/>
                      <w:color w:val="000000"/>
                      <w:sz w:val="22"/>
                      <w:szCs w:val="22"/>
                    </w:rPr>
                    <w:t xml:space="preserve">ustado, al igual que el ingreso </w:t>
                  </w:r>
                  <w:r w:rsidRPr="00E6444A">
                    <w:rPr>
                      <w:rFonts w:asciiTheme="minorHAnsi" w:eastAsiaTheme="minorHAnsi" w:hAnsiTheme="minorHAnsi" w:cs="Arial"/>
                      <w:bCs/>
                      <w:color w:val="000000"/>
                      <w:sz w:val="22"/>
                      <w:szCs w:val="22"/>
                    </w:rPr>
                    <w:t>disponible, puede regis</w:t>
                  </w:r>
                  <w:r>
                    <w:rPr>
                      <w:rFonts w:asciiTheme="minorHAnsi" w:eastAsiaTheme="minorHAnsi" w:hAnsiTheme="minorHAnsi" w:cs="Arial"/>
                      <w:bCs/>
                      <w:color w:val="000000"/>
                      <w:sz w:val="22"/>
                      <w:szCs w:val="22"/>
                    </w:rPr>
                    <w:t xml:space="preserve">trarse bruto o neto del consumo </w:t>
                  </w:r>
                  <w:r w:rsidRPr="00E6444A">
                    <w:rPr>
                      <w:rFonts w:asciiTheme="minorHAnsi" w:eastAsiaTheme="minorHAnsi" w:hAnsiTheme="minorHAnsi" w:cs="Arial"/>
                      <w:bCs/>
                      <w:color w:val="000000"/>
                      <w:sz w:val="22"/>
                      <w:szCs w:val="22"/>
                    </w:rPr>
                    <w:t>de capital fijo. Dado que</w:t>
                  </w:r>
                  <w:r>
                    <w:rPr>
                      <w:rFonts w:asciiTheme="minorHAnsi" w:eastAsiaTheme="minorHAnsi" w:hAnsiTheme="minorHAnsi" w:cs="Arial"/>
                      <w:bCs/>
                      <w:color w:val="000000"/>
                      <w:sz w:val="22"/>
                      <w:szCs w:val="22"/>
                    </w:rPr>
                    <w:t xml:space="preserve"> las unidades del gobierno y de </w:t>
                  </w:r>
                  <w:r w:rsidRPr="00E6444A">
                    <w:rPr>
                      <w:rFonts w:asciiTheme="minorHAnsi" w:eastAsiaTheme="minorHAnsi" w:hAnsiTheme="minorHAnsi" w:cs="Arial"/>
                      <w:bCs/>
                      <w:color w:val="000000"/>
                      <w:sz w:val="22"/>
                      <w:szCs w:val="22"/>
                    </w:rPr>
                    <w:t xml:space="preserve">las ISFLSH </w:t>
                  </w:r>
                  <w:r>
                    <w:rPr>
                      <w:rFonts w:asciiTheme="minorHAnsi" w:eastAsiaTheme="minorHAnsi" w:hAnsiTheme="minorHAnsi" w:cs="Arial"/>
                      <w:bCs/>
                      <w:color w:val="000000"/>
                      <w:sz w:val="22"/>
                      <w:szCs w:val="22"/>
                    </w:rPr>
                    <w:t xml:space="preserve">son las únicas que pueden pagar </w:t>
                  </w:r>
                  <w:r w:rsidRPr="00E6444A">
                    <w:rPr>
                      <w:rFonts w:asciiTheme="minorHAnsi" w:eastAsiaTheme="minorHAnsi" w:hAnsiTheme="minorHAnsi" w:cs="Arial"/>
                      <w:bCs/>
                      <w:color w:val="000000"/>
                      <w:sz w:val="22"/>
                      <w:szCs w:val="22"/>
                    </w:rPr>
                    <w:t>transferencias sociales en especie y los hogares los</w:t>
                  </w:r>
                </w:p>
                <w:p w:rsidR="00C40CC5" w:rsidRPr="00E6444A" w:rsidRDefault="00C40CC5" w:rsidP="009D36F2">
                  <w:pPr>
                    <w:autoSpaceDE w:val="0"/>
                    <w:autoSpaceDN w:val="0"/>
                    <w:adjustRightInd w:val="0"/>
                    <w:jc w:val="both"/>
                    <w:rPr>
                      <w:rFonts w:asciiTheme="minorHAnsi" w:eastAsiaTheme="minorHAnsi" w:hAnsiTheme="minorHAnsi" w:cs="Arial"/>
                      <w:bCs/>
                      <w:color w:val="000000"/>
                      <w:szCs w:val="22"/>
                    </w:rPr>
                  </w:pPr>
                  <w:proofErr w:type="gramStart"/>
                  <w:r w:rsidRPr="00E6444A">
                    <w:rPr>
                      <w:rFonts w:asciiTheme="minorHAnsi" w:eastAsiaTheme="minorHAnsi" w:hAnsiTheme="minorHAnsi" w:cs="Arial"/>
                      <w:bCs/>
                      <w:color w:val="000000"/>
                      <w:sz w:val="22"/>
                      <w:szCs w:val="22"/>
                    </w:rPr>
                    <w:t>únicos</w:t>
                  </w:r>
                  <w:proofErr w:type="gramEnd"/>
                  <w:r w:rsidRPr="00E6444A">
                    <w:rPr>
                      <w:rFonts w:asciiTheme="minorHAnsi" w:eastAsiaTheme="minorHAnsi" w:hAnsiTheme="minorHAnsi" w:cs="Arial"/>
                      <w:bCs/>
                      <w:color w:val="000000"/>
                      <w:sz w:val="22"/>
                      <w:szCs w:val="22"/>
                    </w:rPr>
                    <w:t xml:space="preserve"> que pueden cobrarlas, se deduce que los ingr</w:t>
                  </w:r>
                  <w:r>
                    <w:rPr>
                      <w:rFonts w:asciiTheme="minorHAnsi" w:eastAsiaTheme="minorHAnsi" w:hAnsiTheme="minorHAnsi" w:cs="Arial"/>
                      <w:bCs/>
                      <w:color w:val="000000"/>
                      <w:sz w:val="22"/>
                      <w:szCs w:val="22"/>
                    </w:rPr>
                    <w:t xml:space="preserve">esos </w:t>
                  </w:r>
                  <w:r w:rsidRPr="00E6444A">
                    <w:rPr>
                      <w:rFonts w:asciiTheme="minorHAnsi" w:eastAsiaTheme="minorHAnsi" w:hAnsiTheme="minorHAnsi" w:cs="Arial"/>
                      <w:bCs/>
                      <w:color w:val="000000"/>
                      <w:sz w:val="22"/>
                      <w:szCs w:val="22"/>
                    </w:rPr>
                    <w:t>disponibles ajustad</w:t>
                  </w:r>
                  <w:r>
                    <w:rPr>
                      <w:rFonts w:asciiTheme="minorHAnsi" w:eastAsiaTheme="minorHAnsi" w:hAnsiTheme="minorHAnsi" w:cs="Arial"/>
                      <w:bCs/>
                      <w:color w:val="000000"/>
                      <w:sz w:val="22"/>
                      <w:szCs w:val="22"/>
                    </w:rPr>
                    <w:t xml:space="preserve">os de los sectores del gobierno </w:t>
                  </w:r>
                  <w:r w:rsidRPr="00E6444A">
                    <w:rPr>
                      <w:rFonts w:asciiTheme="minorHAnsi" w:eastAsiaTheme="minorHAnsi" w:hAnsiTheme="minorHAnsi" w:cs="Arial"/>
                      <w:bCs/>
                      <w:color w:val="000000"/>
                      <w:sz w:val="22"/>
                      <w:szCs w:val="22"/>
                    </w:rPr>
                    <w:t>general y de las ISFL</w:t>
                  </w:r>
                  <w:r>
                    <w:rPr>
                      <w:rFonts w:asciiTheme="minorHAnsi" w:eastAsiaTheme="minorHAnsi" w:hAnsiTheme="minorHAnsi" w:cs="Arial"/>
                      <w:bCs/>
                      <w:color w:val="000000"/>
                      <w:sz w:val="22"/>
                      <w:szCs w:val="22"/>
                    </w:rPr>
                    <w:t xml:space="preserve">SH son menores que sus ingresos </w:t>
                  </w:r>
                  <w:r w:rsidRPr="00E6444A">
                    <w:rPr>
                      <w:rFonts w:asciiTheme="minorHAnsi" w:eastAsiaTheme="minorHAnsi" w:hAnsiTheme="minorHAnsi" w:cs="Arial"/>
                      <w:bCs/>
                      <w:color w:val="000000"/>
                      <w:sz w:val="22"/>
                      <w:szCs w:val="22"/>
                    </w:rPr>
                    <w:t>disponibles, mientras que</w:t>
                  </w:r>
                  <w:r>
                    <w:rPr>
                      <w:rFonts w:asciiTheme="minorHAnsi" w:eastAsiaTheme="minorHAnsi" w:hAnsiTheme="minorHAnsi" w:cs="Arial"/>
                      <w:bCs/>
                      <w:color w:val="000000"/>
                      <w:sz w:val="22"/>
                      <w:szCs w:val="22"/>
                    </w:rPr>
                    <w:t xml:space="preserve"> el ingreso disponible ajustado </w:t>
                  </w:r>
                  <w:r w:rsidRPr="00E6444A">
                    <w:rPr>
                      <w:rFonts w:asciiTheme="minorHAnsi" w:eastAsiaTheme="minorHAnsi" w:hAnsiTheme="minorHAnsi" w:cs="Arial"/>
                      <w:bCs/>
                      <w:color w:val="000000"/>
                      <w:sz w:val="22"/>
                      <w:szCs w:val="22"/>
                    </w:rPr>
                    <w:t>del sector de los h</w:t>
                  </w:r>
                  <w:r>
                    <w:rPr>
                      <w:rFonts w:asciiTheme="minorHAnsi" w:eastAsiaTheme="minorHAnsi" w:hAnsiTheme="minorHAnsi" w:cs="Arial"/>
                      <w:bCs/>
                      <w:color w:val="000000"/>
                      <w:sz w:val="22"/>
                      <w:szCs w:val="22"/>
                    </w:rPr>
                    <w:t xml:space="preserve">ogares es superior a su ingreso </w:t>
                  </w:r>
                  <w:r w:rsidRPr="00E6444A">
                    <w:rPr>
                      <w:rFonts w:asciiTheme="minorHAnsi" w:eastAsiaTheme="minorHAnsi" w:hAnsiTheme="minorHAnsi" w:cs="Arial"/>
                      <w:bCs/>
                      <w:color w:val="000000"/>
                      <w:sz w:val="22"/>
                      <w:szCs w:val="22"/>
                    </w:rPr>
                    <w:t>disponible. En ambos casos, el valor de la diferencia es</w:t>
                  </w:r>
                </w:p>
                <w:p w:rsidR="00C40CC5" w:rsidRPr="004621F4" w:rsidRDefault="00C40CC5" w:rsidP="009D36F2">
                  <w:pPr>
                    <w:spacing w:before="120" w:after="120"/>
                    <w:jc w:val="both"/>
                    <w:rPr>
                      <w:rFonts w:asciiTheme="minorHAnsi" w:hAnsiTheme="minorHAnsi"/>
                      <w:szCs w:val="22"/>
                    </w:rPr>
                  </w:pPr>
                  <w:proofErr w:type="gramStart"/>
                  <w:r w:rsidRPr="00E6444A">
                    <w:rPr>
                      <w:rFonts w:asciiTheme="minorHAnsi" w:eastAsiaTheme="minorHAnsi" w:hAnsiTheme="minorHAnsi" w:cs="Arial"/>
                      <w:bCs/>
                      <w:color w:val="000000"/>
                      <w:sz w:val="22"/>
                      <w:szCs w:val="22"/>
                    </w:rPr>
                    <w:lastRenderedPageBreak/>
                    <w:t>igual</w:t>
                  </w:r>
                  <w:proofErr w:type="gramEnd"/>
                  <w:r w:rsidRPr="00E6444A">
                    <w:rPr>
                      <w:rFonts w:asciiTheme="minorHAnsi" w:eastAsiaTheme="minorHAnsi" w:hAnsiTheme="minorHAnsi" w:cs="Arial"/>
                      <w:bCs/>
                      <w:color w:val="000000"/>
                      <w:sz w:val="22"/>
                      <w:szCs w:val="22"/>
                    </w:rPr>
                    <w:t xml:space="preserve"> al valor total de</w:t>
                  </w:r>
                  <w:r>
                    <w:rPr>
                      <w:rFonts w:asciiTheme="minorHAnsi" w:eastAsiaTheme="minorHAnsi" w:hAnsiTheme="minorHAnsi" w:cs="Arial"/>
                      <w:bCs/>
                      <w:color w:val="000000"/>
                      <w:sz w:val="22"/>
                      <w:szCs w:val="22"/>
                    </w:rPr>
                    <w:t xml:space="preserve"> las transferencias sociales en </w:t>
                  </w:r>
                  <w:r w:rsidRPr="00E6444A">
                    <w:rPr>
                      <w:rFonts w:asciiTheme="minorHAnsi" w:eastAsiaTheme="minorHAnsi" w:hAnsiTheme="minorHAnsi" w:cs="Arial"/>
                      <w:bCs/>
                      <w:color w:val="000000"/>
                      <w:sz w:val="22"/>
                      <w:szCs w:val="22"/>
                    </w:rPr>
                    <w:t>especie por lo que el ingr</w:t>
                  </w:r>
                  <w:r>
                    <w:rPr>
                      <w:rFonts w:asciiTheme="minorHAnsi" w:eastAsiaTheme="minorHAnsi" w:hAnsiTheme="minorHAnsi" w:cs="Arial"/>
                      <w:bCs/>
                      <w:color w:val="000000"/>
                      <w:sz w:val="22"/>
                      <w:szCs w:val="22"/>
                    </w:rPr>
                    <w:t xml:space="preserve">eso disponible ajustado para la </w:t>
                  </w:r>
                  <w:r w:rsidRPr="00E6444A">
                    <w:rPr>
                      <w:rFonts w:asciiTheme="minorHAnsi" w:eastAsiaTheme="minorHAnsi" w:hAnsiTheme="minorHAnsi" w:cs="Arial"/>
                      <w:bCs/>
                      <w:color w:val="000000"/>
                      <w:sz w:val="22"/>
                      <w:szCs w:val="22"/>
                    </w:rPr>
                    <w:t>economía total es igual que su ingreso disponible.</w:t>
                  </w:r>
                  <w:r>
                    <w:rPr>
                      <w:rFonts w:asciiTheme="minorHAnsi" w:eastAsiaTheme="minorHAnsi" w:hAnsiTheme="minorHAnsi" w:cs="Arial"/>
                      <w:bCs/>
                      <w:color w:val="000000"/>
                      <w:sz w:val="22"/>
                      <w:szCs w:val="22"/>
                    </w:rPr>
                    <w:t xml:space="preserve"> (SCN2008, 8.34)</w:t>
                  </w:r>
                </w:p>
              </w:tc>
            </w:tr>
          </w:tbl>
          <w:p w:rsidR="00C40CC5" w:rsidRPr="00410A0A" w:rsidRDefault="00C40CC5" w:rsidP="009D36F2">
            <w:pPr>
              <w:jc w:val="both"/>
              <w:rPr>
                <w:rFonts w:asciiTheme="minorHAnsi" w:hAnsiTheme="minorHAnsi" w:cs="Arial"/>
                <w:szCs w:val="22"/>
              </w:rPr>
            </w:pPr>
          </w:p>
        </w:tc>
      </w:tr>
    </w:tbl>
    <w:p w:rsidR="00C40CC5" w:rsidRDefault="00C40CC5"/>
    <w:p w:rsidR="00C40CC5" w:rsidRDefault="00C40CC5"/>
    <w:p w:rsidR="00C40CC5" w:rsidRDefault="00C40CC5"/>
    <w:tbl>
      <w:tblPr>
        <w:tblStyle w:val="Tablaconcuadrcula"/>
        <w:tblW w:w="0" w:type="auto"/>
        <w:jc w:val="center"/>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4A0" w:firstRow="1" w:lastRow="0" w:firstColumn="1" w:lastColumn="0" w:noHBand="0" w:noVBand="1"/>
      </w:tblPr>
      <w:tblGrid>
        <w:gridCol w:w="9054"/>
      </w:tblGrid>
      <w:tr w:rsidR="00C40CC5" w:rsidRPr="00410A0A" w:rsidTr="009D36F2">
        <w:trPr>
          <w:jc w:val="center"/>
        </w:trPr>
        <w:tc>
          <w:tcPr>
            <w:tcW w:w="9054" w:type="dxa"/>
            <w:vAlign w:val="center"/>
          </w:tcPr>
          <w:p w:rsidR="00C40CC5" w:rsidRDefault="00C40CC5" w:rsidP="009D36F2">
            <w:pPr>
              <w:jc w:val="both"/>
              <w:rPr>
                <w:rFonts w:asciiTheme="minorHAnsi" w:hAnsiTheme="minorHAnsi" w:cs="Arial"/>
                <w:szCs w:val="22"/>
              </w:rPr>
            </w:pPr>
          </w:p>
          <w:p w:rsidR="000A3871" w:rsidRPr="000A3871" w:rsidRDefault="000A3871" w:rsidP="009D36F2">
            <w:pPr>
              <w:jc w:val="both"/>
              <w:rPr>
                <w:rFonts w:asciiTheme="minorHAnsi" w:hAnsiTheme="minorHAnsi" w:cs="Arial"/>
                <w:sz w:val="32"/>
                <w:szCs w:val="22"/>
              </w:rPr>
            </w:pPr>
            <w:r w:rsidRPr="000A3871">
              <w:rPr>
                <w:rFonts w:ascii="Calibri" w:hAnsi="Calibri"/>
                <w:b/>
                <w:bCs/>
                <w:color w:val="000000"/>
                <w:sz w:val="22"/>
                <w:szCs w:val="18"/>
                <w:lang w:eastAsia="es-EC"/>
              </w:rPr>
              <w:t>C</w:t>
            </w:r>
            <w:r w:rsidRPr="000A3871">
              <w:rPr>
                <w:rFonts w:ascii="Calibri" w:hAnsi="Calibri"/>
                <w:b/>
                <w:bCs/>
                <w:color w:val="000000"/>
                <w:sz w:val="22"/>
                <w:szCs w:val="18"/>
                <w:lang w:val="es-EC" w:eastAsia="es-EC"/>
              </w:rPr>
              <w:t>uenta de utilización del ingreso disponible</w:t>
            </w:r>
          </w:p>
          <w:p w:rsidR="000A3871" w:rsidRPr="00410A0A" w:rsidRDefault="000A3871" w:rsidP="009D36F2">
            <w:pPr>
              <w:jc w:val="both"/>
              <w:rPr>
                <w:rFonts w:asciiTheme="minorHAnsi" w:hAnsiTheme="minorHAnsi"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1716"/>
              <w:gridCol w:w="6229"/>
            </w:tblGrid>
            <w:tr w:rsidR="00C40CC5" w:rsidRPr="004337FC" w:rsidTr="009D36F2">
              <w:trPr>
                <w:trHeight w:hRule="exact" w:val="1050"/>
                <w:tblHeader/>
              </w:trPr>
              <w:tc>
                <w:tcPr>
                  <w:tcW w:w="500" w:type="pct"/>
                  <w:shd w:val="clear" w:color="auto" w:fill="DBE5F1" w:themeFill="accent1" w:themeFillTint="33"/>
                  <w:vAlign w:val="center"/>
                </w:tcPr>
                <w:p w:rsidR="00C40CC5" w:rsidRPr="004337FC" w:rsidRDefault="00C40CC5" w:rsidP="009D36F2">
                  <w:pPr>
                    <w:spacing w:before="120" w:after="120"/>
                    <w:jc w:val="center"/>
                    <w:rPr>
                      <w:rFonts w:asciiTheme="minorHAnsi" w:hAnsiTheme="minorHAnsi" w:cs="Calibri"/>
                      <w:b/>
                      <w:szCs w:val="22"/>
                      <w:lang w:val="es-EC"/>
                    </w:rPr>
                  </w:pPr>
                  <w:r w:rsidRPr="004337FC">
                    <w:rPr>
                      <w:rFonts w:asciiTheme="minorHAnsi" w:hAnsiTheme="minorHAnsi" w:cs="Calibri"/>
                      <w:b/>
                      <w:sz w:val="22"/>
                      <w:szCs w:val="22"/>
                      <w:lang w:val="es-EC"/>
                    </w:rPr>
                    <w:t>Código SCN 2008</w:t>
                  </w:r>
                </w:p>
              </w:tc>
              <w:tc>
                <w:tcPr>
                  <w:tcW w:w="972" w:type="pct"/>
                  <w:shd w:val="clear" w:color="auto" w:fill="DBE5F1" w:themeFill="accent1" w:themeFillTint="33"/>
                  <w:vAlign w:val="center"/>
                </w:tcPr>
                <w:p w:rsidR="00C40CC5" w:rsidRPr="004337FC" w:rsidRDefault="00C40CC5" w:rsidP="009D36F2">
                  <w:pPr>
                    <w:spacing w:before="120" w:after="120"/>
                    <w:jc w:val="center"/>
                    <w:rPr>
                      <w:rFonts w:asciiTheme="minorHAnsi" w:hAnsiTheme="minorHAnsi" w:cs="Calibri"/>
                      <w:b/>
                      <w:szCs w:val="22"/>
                      <w:lang w:val="es-EC"/>
                    </w:rPr>
                  </w:pPr>
                  <w:r w:rsidRPr="004337FC">
                    <w:rPr>
                      <w:rFonts w:asciiTheme="minorHAnsi" w:hAnsiTheme="minorHAnsi" w:cs="Calibri"/>
                      <w:b/>
                      <w:sz w:val="22"/>
                      <w:szCs w:val="22"/>
                      <w:lang w:val="es-EC"/>
                    </w:rPr>
                    <w:t>Transacción</w:t>
                  </w:r>
                </w:p>
              </w:tc>
              <w:tc>
                <w:tcPr>
                  <w:tcW w:w="3528" w:type="pct"/>
                  <w:shd w:val="clear" w:color="auto" w:fill="DBE5F1" w:themeFill="accent1" w:themeFillTint="33"/>
                  <w:vAlign w:val="center"/>
                </w:tcPr>
                <w:p w:rsidR="00C40CC5" w:rsidRPr="004337FC" w:rsidRDefault="00C40CC5" w:rsidP="009D36F2">
                  <w:pPr>
                    <w:spacing w:before="120" w:after="120"/>
                    <w:jc w:val="center"/>
                    <w:rPr>
                      <w:rFonts w:asciiTheme="minorHAnsi" w:hAnsiTheme="minorHAnsi" w:cs="Calibri"/>
                      <w:b/>
                      <w:szCs w:val="22"/>
                      <w:lang w:val="es-EC"/>
                    </w:rPr>
                  </w:pPr>
                  <w:r w:rsidRPr="004337FC">
                    <w:rPr>
                      <w:rFonts w:asciiTheme="minorHAnsi" w:hAnsiTheme="minorHAnsi" w:cs="Calibri"/>
                      <w:b/>
                      <w:sz w:val="22"/>
                      <w:szCs w:val="22"/>
                      <w:lang w:val="es-EC"/>
                    </w:rPr>
                    <w:t>Descripción</w:t>
                  </w:r>
                </w:p>
              </w:tc>
            </w:tr>
            <w:tr w:rsidR="00C40CC5" w:rsidRPr="004337FC" w:rsidTr="009D36F2">
              <w:trPr>
                <w:trHeight w:val="156"/>
              </w:trPr>
              <w:tc>
                <w:tcPr>
                  <w:tcW w:w="500" w:type="pct"/>
                  <w:shd w:val="clear" w:color="auto" w:fill="auto"/>
                </w:tcPr>
                <w:p w:rsidR="00C40CC5" w:rsidRPr="004337FC" w:rsidRDefault="00C40CC5" w:rsidP="009D36F2">
                  <w:pPr>
                    <w:spacing w:before="120" w:after="120"/>
                    <w:rPr>
                      <w:rFonts w:asciiTheme="minorHAnsi" w:hAnsiTheme="minorHAnsi" w:cs="Calibri"/>
                      <w:b/>
                      <w:bCs/>
                      <w:szCs w:val="22"/>
                    </w:rPr>
                  </w:pPr>
                  <w:r w:rsidRPr="004337FC">
                    <w:rPr>
                      <w:rFonts w:asciiTheme="minorHAnsi" w:hAnsiTheme="minorHAnsi" w:cs="Calibri"/>
                      <w:b/>
                      <w:bCs/>
                      <w:sz w:val="22"/>
                      <w:szCs w:val="22"/>
                    </w:rPr>
                    <w:t>B.6b</w:t>
                  </w:r>
                </w:p>
              </w:tc>
              <w:tc>
                <w:tcPr>
                  <w:tcW w:w="972" w:type="pct"/>
                  <w:shd w:val="clear" w:color="auto" w:fill="auto"/>
                </w:tcPr>
                <w:p w:rsidR="00C40CC5" w:rsidRPr="004337FC" w:rsidRDefault="00C40CC5" w:rsidP="009D36F2">
                  <w:pPr>
                    <w:spacing w:before="120" w:after="120"/>
                    <w:rPr>
                      <w:rFonts w:asciiTheme="minorHAnsi" w:hAnsiTheme="minorHAnsi" w:cs="Calibri"/>
                      <w:b/>
                      <w:bCs/>
                      <w:szCs w:val="22"/>
                    </w:rPr>
                  </w:pPr>
                  <w:r w:rsidRPr="004337FC">
                    <w:rPr>
                      <w:rFonts w:asciiTheme="minorHAnsi" w:hAnsiTheme="minorHAnsi" w:cs="Calibri"/>
                      <w:b/>
                      <w:bCs/>
                      <w:sz w:val="22"/>
                      <w:szCs w:val="22"/>
                    </w:rPr>
                    <w:t>Ingreso nacional disponible bruto</w:t>
                  </w:r>
                </w:p>
              </w:tc>
              <w:tc>
                <w:tcPr>
                  <w:tcW w:w="3528" w:type="pct"/>
                  <w:shd w:val="clear" w:color="auto" w:fill="auto"/>
                </w:tcPr>
                <w:p w:rsidR="00C40CC5" w:rsidRPr="004337FC" w:rsidRDefault="00C40CC5" w:rsidP="009D36F2">
                  <w:pPr>
                    <w:spacing w:before="120" w:after="120"/>
                    <w:jc w:val="both"/>
                    <w:rPr>
                      <w:rFonts w:asciiTheme="minorHAnsi" w:hAnsiTheme="minorHAnsi"/>
                      <w:szCs w:val="22"/>
                    </w:rPr>
                  </w:pPr>
                  <w:r>
                    <w:rPr>
                      <w:rFonts w:asciiTheme="minorHAnsi" w:eastAsiaTheme="minorHAnsi" w:hAnsiTheme="minorHAnsi" w:cs="Arial"/>
                      <w:bCs/>
                      <w:color w:val="000000"/>
                      <w:sz w:val="22"/>
                      <w:szCs w:val="22"/>
                    </w:rPr>
                    <w:t>P</w:t>
                  </w:r>
                  <w:r w:rsidRPr="00B226CC">
                    <w:rPr>
                      <w:rFonts w:asciiTheme="minorHAnsi" w:eastAsiaTheme="minorHAnsi" w:hAnsiTheme="minorHAnsi" w:cs="Arial"/>
                      <w:bCs/>
                      <w:color w:val="000000"/>
                      <w:sz w:val="22"/>
                      <w:szCs w:val="22"/>
                    </w:rPr>
                    <w:t>uede obtenerse a partir del ingreso nacional, bruto sumando todas las transferencias corrientes en dinero o en especie a recibir por las unidades institucionales residentes de las unidades no residentes; y restando todas las transferencias corrientes en dinero o en especie a pagar por las unidades institucionales residentes a las unidades no residentes</w:t>
                  </w:r>
                  <w:r>
                    <w:rPr>
                      <w:rFonts w:asciiTheme="minorHAnsi" w:eastAsiaTheme="minorHAnsi" w:hAnsiTheme="minorHAnsi" w:cs="Arial"/>
                      <w:bCs/>
                      <w:color w:val="000000"/>
                      <w:sz w:val="22"/>
                      <w:szCs w:val="22"/>
                    </w:rPr>
                    <w:t>.  (SCN2008, pág. 724)</w:t>
                  </w:r>
                </w:p>
              </w:tc>
            </w:tr>
            <w:tr w:rsidR="00C40CC5" w:rsidRPr="004337FC" w:rsidTr="009D36F2">
              <w:trPr>
                <w:trHeight w:val="156"/>
              </w:trPr>
              <w:tc>
                <w:tcPr>
                  <w:tcW w:w="500" w:type="pct"/>
                  <w:shd w:val="clear" w:color="auto" w:fill="auto"/>
                </w:tcPr>
                <w:p w:rsidR="00C40CC5" w:rsidRPr="004337FC" w:rsidRDefault="00C40CC5" w:rsidP="009D36F2">
                  <w:pPr>
                    <w:spacing w:before="120" w:after="120"/>
                    <w:rPr>
                      <w:rFonts w:asciiTheme="minorHAnsi" w:hAnsiTheme="minorHAnsi" w:cs="Calibri"/>
                      <w:b/>
                      <w:bCs/>
                      <w:szCs w:val="22"/>
                    </w:rPr>
                  </w:pPr>
                  <w:r w:rsidRPr="004337FC">
                    <w:rPr>
                      <w:rFonts w:asciiTheme="minorHAnsi" w:hAnsiTheme="minorHAnsi" w:cs="Calibri"/>
                      <w:b/>
                      <w:bCs/>
                      <w:sz w:val="22"/>
                      <w:szCs w:val="22"/>
                    </w:rPr>
                    <w:t>B.6n</w:t>
                  </w:r>
                </w:p>
              </w:tc>
              <w:tc>
                <w:tcPr>
                  <w:tcW w:w="972" w:type="pct"/>
                  <w:shd w:val="clear" w:color="auto" w:fill="auto"/>
                </w:tcPr>
                <w:p w:rsidR="00C40CC5" w:rsidRPr="004337FC" w:rsidRDefault="00C40CC5" w:rsidP="009D36F2">
                  <w:pPr>
                    <w:spacing w:before="120" w:after="120"/>
                    <w:rPr>
                      <w:rFonts w:asciiTheme="minorHAnsi" w:hAnsiTheme="minorHAnsi" w:cs="Calibri"/>
                      <w:b/>
                      <w:bCs/>
                      <w:szCs w:val="22"/>
                    </w:rPr>
                  </w:pPr>
                  <w:r w:rsidRPr="004337FC">
                    <w:rPr>
                      <w:rFonts w:asciiTheme="minorHAnsi" w:hAnsiTheme="minorHAnsi" w:cs="Calibri"/>
                      <w:b/>
                      <w:bCs/>
                      <w:sz w:val="22"/>
                      <w:szCs w:val="22"/>
                    </w:rPr>
                    <w:t>Ingreso nacional disponible neto</w:t>
                  </w:r>
                </w:p>
              </w:tc>
              <w:tc>
                <w:tcPr>
                  <w:tcW w:w="3528" w:type="pct"/>
                  <w:shd w:val="clear" w:color="auto" w:fill="auto"/>
                </w:tcPr>
                <w:p w:rsidR="00C40CC5" w:rsidRPr="006F7974" w:rsidRDefault="00C40CC5" w:rsidP="009D36F2">
                  <w:pPr>
                    <w:spacing w:before="120" w:after="120"/>
                    <w:jc w:val="both"/>
                    <w:rPr>
                      <w:rFonts w:asciiTheme="minorHAnsi" w:eastAsiaTheme="minorHAnsi" w:hAnsiTheme="minorHAnsi" w:cs="Arial"/>
                      <w:bCs/>
                      <w:color w:val="000000"/>
                      <w:szCs w:val="22"/>
                    </w:rPr>
                  </w:pPr>
                  <w:r w:rsidRPr="00B226CC">
                    <w:rPr>
                      <w:rFonts w:asciiTheme="minorHAnsi" w:eastAsiaTheme="minorHAnsi" w:hAnsiTheme="minorHAnsi" w:cs="Arial"/>
                      <w:bCs/>
                      <w:color w:val="000000"/>
                      <w:sz w:val="22"/>
                      <w:szCs w:val="22"/>
                    </w:rPr>
                    <w:t>El ingreso nacional disponible neto (INDN) se define como el</w:t>
                  </w:r>
                  <w:r>
                    <w:rPr>
                      <w:rFonts w:asciiTheme="minorHAnsi" w:eastAsiaTheme="minorHAnsi" w:hAnsiTheme="minorHAnsi" w:cs="Arial"/>
                      <w:bCs/>
                      <w:color w:val="000000"/>
                      <w:szCs w:val="22"/>
                    </w:rPr>
                    <w:t xml:space="preserve"> </w:t>
                  </w:r>
                  <w:r w:rsidRPr="00B226CC">
                    <w:rPr>
                      <w:rFonts w:asciiTheme="minorHAnsi" w:eastAsiaTheme="minorHAnsi" w:hAnsiTheme="minorHAnsi" w:cs="Arial"/>
                      <w:bCs/>
                      <w:color w:val="000000"/>
                      <w:sz w:val="22"/>
                      <w:szCs w:val="22"/>
                    </w:rPr>
                    <w:t>ingreso nacional neto (INN) más las transferencias</w:t>
                  </w:r>
                  <w:r>
                    <w:rPr>
                      <w:rFonts w:asciiTheme="minorHAnsi" w:eastAsiaTheme="minorHAnsi" w:hAnsiTheme="minorHAnsi" w:cs="Arial"/>
                      <w:bCs/>
                      <w:color w:val="000000"/>
                      <w:szCs w:val="22"/>
                    </w:rPr>
                    <w:t xml:space="preserve"> </w:t>
                  </w:r>
                  <w:r w:rsidRPr="00B226CC">
                    <w:rPr>
                      <w:rFonts w:asciiTheme="minorHAnsi" w:eastAsiaTheme="minorHAnsi" w:hAnsiTheme="minorHAnsi" w:cs="Arial"/>
                      <w:bCs/>
                      <w:color w:val="000000"/>
                      <w:sz w:val="22"/>
                      <w:szCs w:val="22"/>
                    </w:rPr>
                    <w:t>corrientes por cobrar del exterior menos las transferencias corrientes por pagar al exterior.</w:t>
                  </w:r>
                  <w:r>
                    <w:rPr>
                      <w:rFonts w:asciiTheme="minorHAnsi" w:eastAsiaTheme="minorHAnsi" w:hAnsiTheme="minorHAnsi" w:cs="Arial"/>
                      <w:bCs/>
                      <w:color w:val="000000"/>
                      <w:sz w:val="22"/>
                      <w:szCs w:val="22"/>
                    </w:rPr>
                    <w:t xml:space="preserve"> (SCN2008, 16.57)</w:t>
                  </w:r>
                </w:p>
              </w:tc>
            </w:tr>
            <w:tr w:rsidR="00C40CC5" w:rsidRPr="004337FC" w:rsidTr="009D36F2">
              <w:trPr>
                <w:trHeight w:val="156"/>
              </w:trPr>
              <w:tc>
                <w:tcPr>
                  <w:tcW w:w="500" w:type="pct"/>
                  <w:shd w:val="clear" w:color="auto" w:fill="auto"/>
                </w:tcPr>
                <w:p w:rsidR="00C40CC5" w:rsidRPr="004337FC" w:rsidRDefault="00C40CC5" w:rsidP="009D36F2">
                  <w:pPr>
                    <w:spacing w:before="120" w:after="120"/>
                    <w:rPr>
                      <w:rFonts w:asciiTheme="minorHAnsi" w:hAnsiTheme="minorHAnsi" w:cs="Calibri"/>
                      <w:b/>
                      <w:szCs w:val="22"/>
                    </w:rPr>
                  </w:pPr>
                  <w:r w:rsidRPr="004337FC">
                    <w:rPr>
                      <w:rFonts w:asciiTheme="minorHAnsi" w:hAnsiTheme="minorHAnsi" w:cs="Calibri"/>
                      <w:b/>
                      <w:sz w:val="22"/>
                      <w:szCs w:val="22"/>
                    </w:rPr>
                    <w:t>P.31</w:t>
                  </w:r>
                </w:p>
              </w:tc>
              <w:tc>
                <w:tcPr>
                  <w:tcW w:w="972" w:type="pct"/>
                  <w:shd w:val="clear" w:color="auto" w:fill="auto"/>
                </w:tcPr>
                <w:p w:rsidR="00C40CC5" w:rsidRPr="004337FC" w:rsidRDefault="00C40CC5" w:rsidP="009D36F2">
                  <w:pPr>
                    <w:spacing w:before="120" w:after="120"/>
                    <w:rPr>
                      <w:rFonts w:asciiTheme="minorHAnsi" w:hAnsiTheme="minorHAnsi" w:cs="Calibri"/>
                      <w:b/>
                      <w:szCs w:val="22"/>
                    </w:rPr>
                  </w:pPr>
                  <w:r w:rsidRPr="004337FC">
                    <w:rPr>
                      <w:rFonts w:asciiTheme="minorHAnsi" w:hAnsiTheme="minorHAnsi" w:cs="Calibri"/>
                      <w:b/>
                      <w:sz w:val="22"/>
                      <w:szCs w:val="22"/>
                    </w:rPr>
                    <w:t>Gasto de consumo final individual</w:t>
                  </w:r>
                </w:p>
              </w:tc>
              <w:tc>
                <w:tcPr>
                  <w:tcW w:w="3528" w:type="pct"/>
                  <w:shd w:val="clear" w:color="auto" w:fill="auto"/>
                </w:tcPr>
                <w:p w:rsidR="00C40CC5" w:rsidRPr="006F7974" w:rsidRDefault="00C40CC5" w:rsidP="009D36F2">
                  <w:pPr>
                    <w:spacing w:before="120" w:after="120"/>
                    <w:jc w:val="both"/>
                    <w:rPr>
                      <w:rFonts w:asciiTheme="minorHAnsi" w:eastAsiaTheme="minorHAnsi" w:hAnsiTheme="minorHAnsi" w:cs="Arial"/>
                      <w:bCs/>
                      <w:color w:val="000000"/>
                      <w:szCs w:val="22"/>
                    </w:rPr>
                  </w:pPr>
                  <w:r w:rsidRPr="00C802D5">
                    <w:rPr>
                      <w:rFonts w:asciiTheme="minorHAnsi" w:eastAsiaTheme="minorHAnsi" w:hAnsiTheme="minorHAnsi" w:cs="Arial"/>
                      <w:bCs/>
                      <w:color w:val="000000"/>
                      <w:sz w:val="22"/>
                      <w:szCs w:val="22"/>
                    </w:rPr>
                    <w:t>Un bien o servicio de consumo individual es aquél que es adquirido por un hogar y utilizado para satisfacer las necesidades y deseo</w:t>
                  </w:r>
                  <w:r>
                    <w:rPr>
                      <w:rFonts w:asciiTheme="minorHAnsi" w:eastAsiaTheme="minorHAnsi" w:hAnsiTheme="minorHAnsi" w:cs="Arial"/>
                      <w:bCs/>
                      <w:color w:val="000000"/>
                      <w:sz w:val="22"/>
                      <w:szCs w:val="22"/>
                    </w:rPr>
                    <w:t xml:space="preserve">s de sus miembros. Los bienes y </w:t>
                  </w:r>
                  <w:r w:rsidRPr="00C802D5">
                    <w:rPr>
                      <w:rFonts w:asciiTheme="minorHAnsi" w:eastAsiaTheme="minorHAnsi" w:hAnsiTheme="minorHAnsi" w:cs="Arial"/>
                      <w:bCs/>
                      <w:color w:val="000000"/>
                      <w:sz w:val="22"/>
                      <w:szCs w:val="22"/>
                    </w:rPr>
                    <w:t>servicios individuales pueden comprarse y venderse siempre en el mercado, aunque también pueden suministrarse gratuitamente, o a precios económicamente no significativos, bajo la forma de transferencias sociales en especie. En la práctica, todos los bienes y la mayoría de los servicios son individuales.</w:t>
                  </w:r>
                  <w:r>
                    <w:rPr>
                      <w:rFonts w:asciiTheme="minorHAnsi" w:eastAsiaTheme="minorHAnsi" w:hAnsiTheme="minorHAnsi" w:cs="Arial"/>
                      <w:bCs/>
                      <w:color w:val="000000"/>
                      <w:sz w:val="22"/>
                      <w:szCs w:val="22"/>
                    </w:rPr>
                    <w:t xml:space="preserve"> (SCN2008, 9.3)</w:t>
                  </w:r>
                </w:p>
              </w:tc>
            </w:tr>
            <w:tr w:rsidR="00C40CC5" w:rsidRPr="004337FC" w:rsidTr="009D36F2">
              <w:trPr>
                <w:trHeight w:val="156"/>
              </w:trPr>
              <w:tc>
                <w:tcPr>
                  <w:tcW w:w="500" w:type="pct"/>
                  <w:shd w:val="clear" w:color="auto" w:fill="auto"/>
                </w:tcPr>
                <w:p w:rsidR="00C40CC5" w:rsidRPr="004337FC" w:rsidRDefault="00C40CC5" w:rsidP="009D36F2">
                  <w:pPr>
                    <w:spacing w:before="120" w:after="120"/>
                    <w:jc w:val="both"/>
                    <w:rPr>
                      <w:rFonts w:asciiTheme="minorHAnsi" w:hAnsiTheme="minorHAnsi" w:cs="Calibri"/>
                      <w:b/>
                      <w:szCs w:val="22"/>
                    </w:rPr>
                  </w:pPr>
                  <w:r w:rsidRPr="004337FC">
                    <w:rPr>
                      <w:rFonts w:asciiTheme="minorHAnsi" w:hAnsiTheme="minorHAnsi" w:cs="Calibri"/>
                      <w:b/>
                      <w:sz w:val="22"/>
                      <w:szCs w:val="22"/>
                    </w:rPr>
                    <w:t>P.32</w:t>
                  </w:r>
                </w:p>
              </w:tc>
              <w:tc>
                <w:tcPr>
                  <w:tcW w:w="972" w:type="pct"/>
                  <w:shd w:val="clear" w:color="auto" w:fill="auto"/>
                </w:tcPr>
                <w:p w:rsidR="00C40CC5" w:rsidRPr="004337FC" w:rsidRDefault="00C40CC5" w:rsidP="009D36F2">
                  <w:pPr>
                    <w:spacing w:before="120" w:after="120"/>
                    <w:rPr>
                      <w:rFonts w:asciiTheme="minorHAnsi" w:hAnsiTheme="minorHAnsi" w:cs="Calibri"/>
                      <w:b/>
                      <w:szCs w:val="22"/>
                    </w:rPr>
                  </w:pPr>
                  <w:r w:rsidRPr="004337FC">
                    <w:rPr>
                      <w:rFonts w:asciiTheme="minorHAnsi" w:hAnsiTheme="minorHAnsi" w:cs="Calibri"/>
                      <w:b/>
                      <w:sz w:val="22"/>
                      <w:szCs w:val="22"/>
                    </w:rPr>
                    <w:t>Gasto de consumo final colectivo</w:t>
                  </w:r>
                </w:p>
              </w:tc>
              <w:tc>
                <w:tcPr>
                  <w:tcW w:w="3528" w:type="pct"/>
                  <w:shd w:val="clear" w:color="auto" w:fill="auto"/>
                </w:tcPr>
                <w:p w:rsidR="00C40CC5" w:rsidRDefault="00C40CC5" w:rsidP="009D36F2">
                  <w:pPr>
                    <w:spacing w:before="120" w:after="120" w:line="276" w:lineRule="auto"/>
                    <w:jc w:val="both"/>
                    <w:rPr>
                      <w:rFonts w:asciiTheme="minorHAnsi" w:eastAsiaTheme="minorHAnsi" w:hAnsiTheme="minorHAnsi" w:cs="Arial"/>
                      <w:bCs/>
                      <w:color w:val="000000"/>
                      <w:szCs w:val="22"/>
                    </w:rPr>
                  </w:pPr>
                  <w:r w:rsidRPr="00C802D5">
                    <w:rPr>
                      <w:rFonts w:asciiTheme="minorHAnsi" w:eastAsiaTheme="minorHAnsi" w:hAnsiTheme="minorHAnsi" w:cs="Arial"/>
                      <w:bCs/>
                      <w:color w:val="000000"/>
                      <w:sz w:val="22"/>
                      <w:szCs w:val="22"/>
                    </w:rPr>
                    <w:t>Un servicio de consumo colectivo es el que se presta simultáneamente a todos los miembros de la comunidad o a todos los miembros de una sección particular de la</w:t>
                  </w:r>
                  <w:r>
                    <w:rPr>
                      <w:rFonts w:asciiTheme="minorHAnsi" w:eastAsiaTheme="minorHAnsi" w:hAnsiTheme="minorHAnsi" w:cs="Arial"/>
                      <w:bCs/>
                      <w:color w:val="000000"/>
                      <w:sz w:val="22"/>
                      <w:szCs w:val="22"/>
                    </w:rPr>
                    <w:t xml:space="preserve"> </w:t>
                  </w:r>
                  <w:r w:rsidRPr="00C802D5">
                    <w:rPr>
                      <w:rFonts w:asciiTheme="minorHAnsi" w:eastAsiaTheme="minorHAnsi" w:hAnsiTheme="minorHAnsi" w:cs="Arial"/>
                      <w:bCs/>
                      <w:color w:val="000000"/>
                      <w:sz w:val="22"/>
                      <w:szCs w:val="22"/>
                    </w:rPr>
                    <w:t xml:space="preserve">misma, por ejemplo, a todos los hogares que habitan en una región particular. Los servicios colectivos se adquieren y consumen </w:t>
                  </w:r>
                  <w:r>
                    <w:rPr>
                      <w:rFonts w:asciiTheme="minorHAnsi" w:eastAsiaTheme="minorHAnsi" w:hAnsiTheme="minorHAnsi" w:cs="Arial"/>
                      <w:bCs/>
                      <w:color w:val="000000"/>
                      <w:sz w:val="22"/>
                      <w:szCs w:val="22"/>
                    </w:rPr>
                    <w:t xml:space="preserve">automáticamente por todos los </w:t>
                  </w:r>
                  <w:r w:rsidRPr="00C802D5">
                    <w:rPr>
                      <w:rFonts w:asciiTheme="minorHAnsi" w:eastAsiaTheme="minorHAnsi" w:hAnsiTheme="minorHAnsi" w:cs="Arial"/>
                      <w:bCs/>
                      <w:color w:val="000000"/>
                      <w:sz w:val="22"/>
                      <w:szCs w:val="22"/>
                    </w:rPr>
                    <w:t xml:space="preserve">miembros de la comunidad, o sección de la comunidad, sin ninguna acción por parte de ésta. Ejemplos típicos son los servicios generales de la administración pública y los servicios de seguridad prestados a nivel nacional o local. Los servicios colectivos son los “bienes públicos” de la teoría </w:t>
                  </w:r>
                  <w:r w:rsidRPr="00C802D5">
                    <w:rPr>
                      <w:rFonts w:asciiTheme="minorHAnsi" w:eastAsiaTheme="minorHAnsi" w:hAnsiTheme="minorHAnsi" w:cs="Arial"/>
                      <w:bCs/>
                      <w:color w:val="000000"/>
                      <w:sz w:val="22"/>
                      <w:szCs w:val="22"/>
                    </w:rPr>
                    <w:lastRenderedPageBreak/>
                    <w:t xml:space="preserve">económica. Por su naturaleza, los servicios colectivos no pueden </w:t>
                  </w:r>
                  <w:r>
                    <w:rPr>
                      <w:rFonts w:asciiTheme="minorHAnsi" w:eastAsiaTheme="minorHAnsi" w:hAnsiTheme="minorHAnsi" w:cs="Arial"/>
                      <w:bCs/>
                      <w:color w:val="000000"/>
                      <w:sz w:val="22"/>
                      <w:szCs w:val="22"/>
                    </w:rPr>
                    <w:t xml:space="preserve">venderse a los individuos en el </w:t>
                  </w:r>
                  <w:r w:rsidRPr="00C802D5">
                    <w:rPr>
                      <w:rFonts w:asciiTheme="minorHAnsi" w:eastAsiaTheme="minorHAnsi" w:hAnsiTheme="minorHAnsi" w:cs="Arial"/>
                      <w:bCs/>
                      <w:color w:val="000000"/>
                      <w:sz w:val="22"/>
                      <w:szCs w:val="22"/>
                    </w:rPr>
                    <w:t>mercado y son financiados por las unidades gubernamentales con ingresos tributarios o de otra clase.</w:t>
                  </w:r>
                </w:p>
                <w:p w:rsidR="00C40CC5" w:rsidRPr="00164AB7" w:rsidRDefault="00C40CC5" w:rsidP="009D36F2">
                  <w:pPr>
                    <w:spacing w:before="120" w:after="120" w:line="276" w:lineRule="auto"/>
                    <w:jc w:val="both"/>
                    <w:rPr>
                      <w:rFonts w:asciiTheme="minorHAnsi" w:eastAsiaTheme="minorHAnsi" w:hAnsiTheme="minorHAnsi" w:cs="Arial"/>
                      <w:bCs/>
                      <w:color w:val="000000"/>
                      <w:szCs w:val="22"/>
                    </w:rPr>
                  </w:pPr>
                  <w:r>
                    <w:rPr>
                      <w:rFonts w:asciiTheme="minorHAnsi" w:eastAsiaTheme="minorHAnsi" w:hAnsiTheme="minorHAnsi" w:cs="Arial"/>
                      <w:bCs/>
                      <w:color w:val="000000"/>
                      <w:sz w:val="22"/>
                      <w:szCs w:val="22"/>
                    </w:rPr>
                    <w:t>(SCN2008, 9.4)</w:t>
                  </w:r>
                  <w:r>
                    <w:rPr>
                      <w:rFonts w:eastAsiaTheme="minorHAnsi"/>
                      <w:sz w:val="18"/>
                      <w:szCs w:val="18"/>
                      <w:lang w:val="es-EC"/>
                    </w:rPr>
                    <w:t xml:space="preserve"> </w:t>
                  </w:r>
                </w:p>
              </w:tc>
            </w:tr>
            <w:tr w:rsidR="00C40CC5" w:rsidRPr="004337FC" w:rsidTr="009D36F2">
              <w:trPr>
                <w:trHeight w:val="2742"/>
              </w:trPr>
              <w:tc>
                <w:tcPr>
                  <w:tcW w:w="500" w:type="pct"/>
                  <w:shd w:val="clear" w:color="auto" w:fill="auto"/>
                </w:tcPr>
                <w:p w:rsidR="00C40CC5" w:rsidRPr="004337FC" w:rsidRDefault="00C40CC5" w:rsidP="009D36F2">
                  <w:pPr>
                    <w:spacing w:before="120" w:after="120"/>
                    <w:jc w:val="both"/>
                    <w:rPr>
                      <w:rFonts w:asciiTheme="minorHAnsi" w:hAnsiTheme="minorHAnsi" w:cs="Calibri"/>
                      <w:b/>
                      <w:bCs/>
                      <w:szCs w:val="22"/>
                    </w:rPr>
                  </w:pPr>
                  <w:r w:rsidRPr="004337FC">
                    <w:rPr>
                      <w:rFonts w:asciiTheme="minorHAnsi" w:hAnsiTheme="minorHAnsi" w:cs="Calibri"/>
                      <w:b/>
                      <w:bCs/>
                      <w:sz w:val="22"/>
                      <w:szCs w:val="22"/>
                    </w:rPr>
                    <w:lastRenderedPageBreak/>
                    <w:t>B.8b</w:t>
                  </w:r>
                </w:p>
              </w:tc>
              <w:tc>
                <w:tcPr>
                  <w:tcW w:w="972" w:type="pct"/>
                  <w:shd w:val="clear" w:color="auto" w:fill="auto"/>
                </w:tcPr>
                <w:p w:rsidR="00C40CC5" w:rsidRPr="004337FC" w:rsidRDefault="00C40CC5" w:rsidP="009D36F2">
                  <w:pPr>
                    <w:spacing w:before="120" w:after="120"/>
                    <w:jc w:val="both"/>
                    <w:rPr>
                      <w:rFonts w:asciiTheme="minorHAnsi" w:hAnsiTheme="minorHAnsi" w:cs="Calibri"/>
                      <w:b/>
                      <w:bCs/>
                      <w:szCs w:val="22"/>
                    </w:rPr>
                  </w:pPr>
                  <w:r w:rsidRPr="004337FC">
                    <w:rPr>
                      <w:rFonts w:asciiTheme="minorHAnsi" w:hAnsiTheme="minorHAnsi" w:cs="Calibri"/>
                      <w:b/>
                      <w:bCs/>
                      <w:sz w:val="22"/>
                      <w:szCs w:val="22"/>
                    </w:rPr>
                    <w:t>Ahorro bruto</w:t>
                  </w:r>
                </w:p>
              </w:tc>
              <w:tc>
                <w:tcPr>
                  <w:tcW w:w="3528" w:type="pct"/>
                  <w:shd w:val="clear" w:color="auto" w:fill="auto"/>
                </w:tcPr>
                <w:p w:rsidR="00C40CC5" w:rsidRPr="0015678B" w:rsidRDefault="00C40CC5" w:rsidP="009D36F2">
                  <w:pPr>
                    <w:autoSpaceDE w:val="0"/>
                    <w:autoSpaceDN w:val="0"/>
                    <w:adjustRightInd w:val="0"/>
                    <w:spacing w:line="276" w:lineRule="auto"/>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El ahorro es el saldo contable tanto para la cu</w:t>
                  </w:r>
                  <w:r>
                    <w:rPr>
                      <w:rFonts w:asciiTheme="minorHAnsi" w:eastAsiaTheme="minorHAnsi" w:hAnsiTheme="minorHAnsi" w:cs="Arial"/>
                      <w:bCs/>
                      <w:color w:val="000000"/>
                      <w:sz w:val="22"/>
                      <w:szCs w:val="22"/>
                    </w:rPr>
                    <w:t xml:space="preserve">enta de utilización del ingreso </w:t>
                  </w:r>
                  <w:r w:rsidRPr="0015678B">
                    <w:rPr>
                      <w:rFonts w:asciiTheme="minorHAnsi" w:eastAsiaTheme="minorHAnsi" w:hAnsiTheme="minorHAnsi" w:cs="Arial"/>
                      <w:bCs/>
                      <w:color w:val="000000"/>
                      <w:sz w:val="22"/>
                      <w:szCs w:val="22"/>
                    </w:rPr>
                    <w:t>disponible como para la cuenta de utilización del ingreso disponible ajustado. Se calcula restando del ingreso disponible -incluyendo la variación de los derechos</w:t>
                  </w:r>
                  <w:r>
                    <w:rPr>
                      <w:rFonts w:asciiTheme="minorHAnsi" w:eastAsiaTheme="minorHAnsi" w:hAnsiTheme="minorHAnsi" w:cs="Arial"/>
                      <w:bCs/>
                      <w:color w:val="000000"/>
                      <w:sz w:val="22"/>
                      <w:szCs w:val="22"/>
                    </w:rPr>
                    <w:t xml:space="preserve"> </w:t>
                  </w:r>
                  <w:r w:rsidRPr="0015678B">
                    <w:rPr>
                      <w:rFonts w:asciiTheme="minorHAnsi" w:eastAsiaTheme="minorHAnsi" w:hAnsiTheme="minorHAnsi" w:cs="Arial"/>
                      <w:bCs/>
                      <w:color w:val="000000"/>
                      <w:sz w:val="22"/>
                      <w:szCs w:val="22"/>
                    </w:rPr>
                    <w:t xml:space="preserve">pensionarios- menos el gasto de consumo final, o restando del ingreso disponible ajustado – </w:t>
                  </w:r>
                  <w:r>
                    <w:rPr>
                      <w:rFonts w:asciiTheme="minorHAnsi" w:eastAsiaTheme="minorHAnsi" w:hAnsiTheme="minorHAnsi" w:cs="Arial"/>
                      <w:bCs/>
                      <w:color w:val="000000"/>
                      <w:sz w:val="22"/>
                      <w:szCs w:val="22"/>
                    </w:rPr>
                    <w:t xml:space="preserve">incluyendo la </w:t>
                  </w:r>
                  <w:r w:rsidRPr="0015678B">
                    <w:rPr>
                      <w:rFonts w:asciiTheme="minorHAnsi" w:eastAsiaTheme="minorHAnsi" w:hAnsiTheme="minorHAnsi" w:cs="Arial"/>
                      <w:bCs/>
                      <w:color w:val="000000"/>
                      <w:sz w:val="22"/>
                      <w:szCs w:val="22"/>
                    </w:rPr>
                    <w:t xml:space="preserve">variación de los </w:t>
                  </w:r>
                  <w:r>
                    <w:rPr>
                      <w:rFonts w:asciiTheme="minorHAnsi" w:eastAsiaTheme="minorHAnsi" w:hAnsiTheme="minorHAnsi" w:cs="Arial"/>
                      <w:bCs/>
                      <w:color w:val="000000"/>
                      <w:sz w:val="22"/>
                      <w:szCs w:val="22"/>
                    </w:rPr>
                    <w:t xml:space="preserve">derechos pensionarios- menos el </w:t>
                  </w:r>
                  <w:r w:rsidRPr="0015678B">
                    <w:rPr>
                      <w:rFonts w:asciiTheme="minorHAnsi" w:eastAsiaTheme="minorHAnsi" w:hAnsiTheme="minorHAnsi" w:cs="Arial"/>
                      <w:bCs/>
                      <w:color w:val="000000"/>
                      <w:sz w:val="22"/>
                      <w:szCs w:val="22"/>
                    </w:rPr>
                    <w:t>consumo final efectivo.</w:t>
                  </w:r>
                </w:p>
                <w:p w:rsidR="00C40CC5" w:rsidRPr="0015678B" w:rsidRDefault="00C40CC5" w:rsidP="009D36F2">
                  <w:pPr>
                    <w:autoSpaceDE w:val="0"/>
                    <w:autoSpaceDN w:val="0"/>
                    <w:adjustRightInd w:val="0"/>
                    <w:spacing w:line="276" w:lineRule="auto"/>
                    <w:jc w:val="both"/>
                    <w:rPr>
                      <w:rFonts w:eastAsiaTheme="minorHAnsi"/>
                      <w:sz w:val="18"/>
                      <w:szCs w:val="18"/>
                      <w:lang w:val="es-EC"/>
                    </w:rPr>
                  </w:pPr>
                  <w:r>
                    <w:rPr>
                      <w:rFonts w:asciiTheme="minorHAnsi" w:eastAsiaTheme="minorHAnsi" w:hAnsiTheme="minorHAnsi" w:cs="Arial"/>
                      <w:bCs/>
                      <w:color w:val="000000"/>
                      <w:sz w:val="22"/>
                      <w:szCs w:val="22"/>
                    </w:rPr>
                    <w:t>(</w:t>
                  </w:r>
                  <w:r w:rsidRPr="0015678B">
                    <w:rPr>
                      <w:rFonts w:asciiTheme="minorHAnsi" w:eastAsiaTheme="minorHAnsi" w:hAnsiTheme="minorHAnsi" w:cs="Arial"/>
                      <w:bCs/>
                      <w:color w:val="000000"/>
                      <w:sz w:val="22"/>
                      <w:szCs w:val="22"/>
                    </w:rPr>
                    <w:t>SCN</w:t>
                  </w:r>
                  <w:r>
                    <w:rPr>
                      <w:rFonts w:asciiTheme="minorHAnsi" w:eastAsiaTheme="minorHAnsi" w:hAnsiTheme="minorHAnsi" w:cs="Arial"/>
                      <w:bCs/>
                      <w:color w:val="000000"/>
                      <w:sz w:val="22"/>
                      <w:szCs w:val="22"/>
                    </w:rPr>
                    <w:t xml:space="preserve"> 2008, 9.9)</w:t>
                  </w:r>
                </w:p>
              </w:tc>
            </w:tr>
            <w:tr w:rsidR="00C40CC5" w:rsidRPr="004337FC" w:rsidTr="009D36F2">
              <w:trPr>
                <w:trHeight w:val="156"/>
              </w:trPr>
              <w:tc>
                <w:tcPr>
                  <w:tcW w:w="500" w:type="pct"/>
                </w:tcPr>
                <w:p w:rsidR="00C40CC5" w:rsidRPr="004337FC" w:rsidRDefault="00C40CC5" w:rsidP="009D36F2">
                  <w:pPr>
                    <w:spacing w:before="120" w:after="120"/>
                    <w:jc w:val="both"/>
                    <w:rPr>
                      <w:rFonts w:asciiTheme="minorHAnsi" w:hAnsiTheme="minorHAnsi" w:cs="Calibri"/>
                      <w:b/>
                      <w:bCs/>
                      <w:szCs w:val="22"/>
                    </w:rPr>
                  </w:pPr>
                  <w:r w:rsidRPr="004337FC">
                    <w:rPr>
                      <w:rFonts w:asciiTheme="minorHAnsi" w:hAnsiTheme="minorHAnsi" w:cs="Calibri"/>
                      <w:b/>
                      <w:bCs/>
                      <w:sz w:val="22"/>
                      <w:szCs w:val="22"/>
                    </w:rPr>
                    <w:t xml:space="preserve">B.8n </w:t>
                  </w:r>
                </w:p>
              </w:tc>
              <w:tc>
                <w:tcPr>
                  <w:tcW w:w="972" w:type="pct"/>
                </w:tcPr>
                <w:p w:rsidR="00C40CC5" w:rsidRPr="004337FC" w:rsidRDefault="00C40CC5" w:rsidP="009D36F2">
                  <w:pPr>
                    <w:spacing w:before="120" w:after="120"/>
                    <w:jc w:val="both"/>
                    <w:rPr>
                      <w:rFonts w:asciiTheme="minorHAnsi" w:hAnsiTheme="minorHAnsi" w:cs="Calibri"/>
                      <w:b/>
                      <w:bCs/>
                      <w:szCs w:val="22"/>
                    </w:rPr>
                  </w:pPr>
                  <w:r w:rsidRPr="004337FC">
                    <w:rPr>
                      <w:rFonts w:asciiTheme="minorHAnsi" w:hAnsiTheme="minorHAnsi" w:cs="Calibri"/>
                      <w:b/>
                      <w:bCs/>
                      <w:sz w:val="22"/>
                      <w:szCs w:val="22"/>
                    </w:rPr>
                    <w:t xml:space="preserve">Ahorro neto </w:t>
                  </w:r>
                </w:p>
              </w:tc>
              <w:tc>
                <w:tcPr>
                  <w:tcW w:w="3528" w:type="pct"/>
                  <w:shd w:val="clear" w:color="auto" w:fill="auto"/>
                </w:tcPr>
                <w:p w:rsidR="00C40CC5" w:rsidRPr="0015678B" w:rsidRDefault="00C40CC5" w:rsidP="009D36F2">
                  <w:pPr>
                    <w:autoSpaceDE w:val="0"/>
                    <w:autoSpaceDN w:val="0"/>
                    <w:adjustRightInd w:val="0"/>
                    <w:spacing w:before="24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El ahorro es el saldo contable en las dos cuentas de utilización del ingreso. Su valor es el mismo tanto si se obtiene restando los gastos de consumo final del ingreso disponible, como si se obtiene restando el consumo final efectivo del ingreso disponible ajustado (en ambos casos, después de hacer el ajuste por la variación de los derechos de pensión descrita anteriormente).</w:t>
                  </w:r>
                </w:p>
                <w:p w:rsidR="00C40CC5" w:rsidRPr="0015678B" w:rsidRDefault="00C40CC5" w:rsidP="009D36F2">
                  <w:pPr>
                    <w:autoSpaceDE w:val="0"/>
                    <w:autoSpaceDN w:val="0"/>
                    <w:adjustRightInd w:val="0"/>
                    <w:spacing w:before="24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 xml:space="preserve">El ahorro representa </w:t>
                  </w:r>
                  <w:r>
                    <w:rPr>
                      <w:rFonts w:asciiTheme="minorHAnsi" w:eastAsiaTheme="minorHAnsi" w:hAnsiTheme="minorHAnsi" w:cs="Arial"/>
                      <w:bCs/>
                      <w:color w:val="000000"/>
                      <w:sz w:val="22"/>
                      <w:szCs w:val="22"/>
                    </w:rPr>
                    <w:t xml:space="preserve">la parte del ingreso disponible </w:t>
                  </w:r>
                  <w:r w:rsidRPr="0015678B">
                    <w:rPr>
                      <w:rFonts w:asciiTheme="minorHAnsi" w:eastAsiaTheme="minorHAnsi" w:hAnsiTheme="minorHAnsi" w:cs="Arial"/>
                      <w:bCs/>
                      <w:color w:val="000000"/>
                      <w:sz w:val="22"/>
                      <w:szCs w:val="22"/>
                    </w:rPr>
                    <w:t>(ajustado por la variac</w:t>
                  </w:r>
                  <w:r>
                    <w:rPr>
                      <w:rFonts w:asciiTheme="minorHAnsi" w:eastAsiaTheme="minorHAnsi" w:hAnsiTheme="minorHAnsi" w:cs="Arial"/>
                      <w:bCs/>
                      <w:color w:val="000000"/>
                      <w:sz w:val="22"/>
                      <w:szCs w:val="22"/>
                    </w:rPr>
                    <w:t xml:space="preserve">ión en los derechos de pensión) </w:t>
                  </w:r>
                  <w:r w:rsidRPr="0015678B">
                    <w:rPr>
                      <w:rFonts w:asciiTheme="minorHAnsi" w:eastAsiaTheme="minorHAnsi" w:hAnsiTheme="minorHAnsi" w:cs="Arial"/>
                      <w:bCs/>
                      <w:color w:val="000000"/>
                      <w:sz w:val="22"/>
                      <w:szCs w:val="22"/>
                    </w:rPr>
                    <w:t>que no se gasta en bienes y servicios de consumo final.</w:t>
                  </w:r>
                </w:p>
                <w:p w:rsidR="00C40CC5" w:rsidRPr="0015678B" w:rsidRDefault="00C40CC5" w:rsidP="009D36F2">
                  <w:pPr>
                    <w:autoSpaceDE w:val="0"/>
                    <w:autoSpaceDN w:val="0"/>
                    <w:adjustRightInd w:val="0"/>
                    <w:spacing w:before="24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Puede ser positivo o</w:t>
                  </w:r>
                  <w:r>
                    <w:rPr>
                      <w:rFonts w:asciiTheme="minorHAnsi" w:eastAsiaTheme="minorHAnsi" w:hAnsiTheme="minorHAnsi" w:cs="Arial"/>
                      <w:bCs/>
                      <w:color w:val="000000"/>
                      <w:sz w:val="22"/>
                      <w:szCs w:val="22"/>
                    </w:rPr>
                    <w:t xml:space="preserve"> negativo, según que el ingreso </w:t>
                  </w:r>
                  <w:r w:rsidRPr="0015678B">
                    <w:rPr>
                      <w:rFonts w:asciiTheme="minorHAnsi" w:eastAsiaTheme="minorHAnsi" w:hAnsiTheme="minorHAnsi" w:cs="Arial"/>
                      <w:bCs/>
                      <w:color w:val="000000"/>
                      <w:sz w:val="22"/>
                      <w:szCs w:val="22"/>
                    </w:rPr>
                    <w:t>disponible supere a</w:t>
                  </w:r>
                  <w:r>
                    <w:rPr>
                      <w:rFonts w:asciiTheme="minorHAnsi" w:eastAsiaTheme="minorHAnsi" w:hAnsiTheme="minorHAnsi" w:cs="Arial"/>
                      <w:bCs/>
                      <w:color w:val="000000"/>
                      <w:sz w:val="22"/>
                      <w:szCs w:val="22"/>
                    </w:rPr>
                    <w:t xml:space="preserve"> los gastos de consumo final, o </w:t>
                  </w:r>
                  <w:r w:rsidRPr="0015678B">
                    <w:rPr>
                      <w:rFonts w:asciiTheme="minorHAnsi" w:eastAsiaTheme="minorHAnsi" w:hAnsiTheme="minorHAnsi" w:cs="Arial"/>
                      <w:bCs/>
                      <w:color w:val="000000"/>
                      <w:sz w:val="22"/>
                      <w:szCs w:val="22"/>
                    </w:rPr>
                    <w:t xml:space="preserve">viceversa.  </w:t>
                  </w:r>
                  <w:r w:rsidRPr="00636005">
                    <w:rPr>
                      <w:rFonts w:asciiTheme="minorHAnsi" w:eastAsiaTheme="minorHAnsi" w:hAnsiTheme="minorHAnsi" w:cs="Arial"/>
                      <w:bCs/>
                      <w:color w:val="000000"/>
                      <w:sz w:val="22"/>
                      <w:szCs w:val="22"/>
                    </w:rPr>
                    <w:t>(</w:t>
                  </w:r>
                  <w:r w:rsidRPr="00C16AFB">
                    <w:rPr>
                      <w:rFonts w:asciiTheme="minorHAnsi" w:eastAsiaTheme="minorHAnsi" w:hAnsiTheme="minorHAnsi" w:cs="Arial"/>
                      <w:bCs/>
                      <w:color w:val="000000"/>
                      <w:sz w:val="22"/>
                      <w:szCs w:val="22"/>
                    </w:rPr>
                    <w:t>SCN 2008, 9.26 - 9.27 - 9.28)</w:t>
                  </w:r>
                </w:p>
              </w:tc>
            </w:tr>
          </w:tbl>
          <w:p w:rsidR="00C40CC5" w:rsidRPr="00410A0A" w:rsidRDefault="00C40CC5" w:rsidP="009D36F2">
            <w:pPr>
              <w:jc w:val="both"/>
              <w:rPr>
                <w:rFonts w:asciiTheme="minorHAnsi" w:hAnsiTheme="minorHAnsi" w:cs="Arial"/>
                <w:szCs w:val="22"/>
              </w:rPr>
            </w:pPr>
          </w:p>
        </w:tc>
      </w:tr>
    </w:tbl>
    <w:p w:rsidR="00C40CC5" w:rsidRDefault="00C40CC5"/>
    <w:p w:rsidR="00C40CC5" w:rsidRDefault="00C40CC5"/>
    <w:p w:rsidR="00C40CC5" w:rsidRDefault="00C40CC5"/>
    <w:tbl>
      <w:tblPr>
        <w:tblStyle w:val="Tablaconcuadrcula"/>
        <w:tblW w:w="0" w:type="auto"/>
        <w:jc w:val="center"/>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4A0" w:firstRow="1" w:lastRow="0" w:firstColumn="1" w:lastColumn="0" w:noHBand="0" w:noVBand="1"/>
      </w:tblPr>
      <w:tblGrid>
        <w:gridCol w:w="9054"/>
      </w:tblGrid>
      <w:tr w:rsidR="00C40CC5" w:rsidRPr="00410A0A" w:rsidTr="009D36F2">
        <w:trPr>
          <w:jc w:val="center"/>
        </w:trPr>
        <w:tc>
          <w:tcPr>
            <w:tcW w:w="9054" w:type="dxa"/>
            <w:vAlign w:val="center"/>
          </w:tcPr>
          <w:p w:rsidR="00C40CC5" w:rsidRDefault="00C40CC5" w:rsidP="009D36F2">
            <w:pPr>
              <w:jc w:val="both"/>
              <w:rPr>
                <w:rFonts w:asciiTheme="minorHAnsi" w:hAnsiTheme="minorHAnsi" w:cs="Arial"/>
                <w:szCs w:val="22"/>
              </w:rPr>
            </w:pPr>
          </w:p>
          <w:p w:rsidR="000A3871" w:rsidRPr="000A3871" w:rsidRDefault="000A3871" w:rsidP="009D36F2">
            <w:pPr>
              <w:jc w:val="both"/>
              <w:rPr>
                <w:rFonts w:asciiTheme="minorHAnsi" w:hAnsiTheme="minorHAnsi" w:cs="Arial"/>
                <w:sz w:val="26"/>
                <w:szCs w:val="26"/>
              </w:rPr>
            </w:pPr>
            <w:r w:rsidRPr="000A3871">
              <w:rPr>
                <w:rFonts w:ascii="Calibri" w:hAnsi="Calibri"/>
                <w:b/>
                <w:bCs/>
                <w:color w:val="000000"/>
                <w:sz w:val="26"/>
                <w:szCs w:val="26"/>
                <w:lang w:eastAsia="es-EC"/>
              </w:rPr>
              <w:t>C</w:t>
            </w:r>
            <w:r w:rsidRPr="000A3871">
              <w:rPr>
                <w:rFonts w:ascii="Calibri" w:hAnsi="Calibri"/>
                <w:b/>
                <w:bCs/>
                <w:color w:val="000000"/>
                <w:sz w:val="26"/>
                <w:szCs w:val="26"/>
                <w:lang w:val="es-EC" w:eastAsia="es-EC"/>
              </w:rPr>
              <w:t>uenta de utilización del ingreso disponible ajustado</w:t>
            </w:r>
          </w:p>
          <w:p w:rsidR="000A3871" w:rsidRPr="00410A0A" w:rsidRDefault="000A3871" w:rsidP="009D36F2">
            <w:pPr>
              <w:jc w:val="both"/>
              <w:rPr>
                <w:rFonts w:asciiTheme="minorHAnsi" w:hAnsiTheme="minorHAnsi"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1716"/>
              <w:gridCol w:w="6229"/>
            </w:tblGrid>
            <w:tr w:rsidR="00C40CC5" w:rsidRPr="00B60624" w:rsidTr="009D36F2">
              <w:trPr>
                <w:trHeight w:hRule="exact" w:val="1050"/>
                <w:tblHeader/>
              </w:trPr>
              <w:tc>
                <w:tcPr>
                  <w:tcW w:w="500" w:type="pct"/>
                  <w:shd w:val="clear" w:color="auto" w:fill="DBE5F1" w:themeFill="accent1" w:themeFillTint="33"/>
                  <w:vAlign w:val="center"/>
                </w:tcPr>
                <w:p w:rsidR="00C40CC5" w:rsidRPr="00B60624" w:rsidRDefault="00C40CC5" w:rsidP="009D36F2">
                  <w:pPr>
                    <w:spacing w:before="120" w:after="120"/>
                    <w:jc w:val="center"/>
                    <w:rPr>
                      <w:rFonts w:asciiTheme="minorHAnsi" w:hAnsiTheme="minorHAnsi" w:cs="Calibri"/>
                      <w:b/>
                      <w:szCs w:val="22"/>
                      <w:lang w:val="es-EC"/>
                    </w:rPr>
                  </w:pPr>
                  <w:r w:rsidRPr="00B60624">
                    <w:rPr>
                      <w:rFonts w:asciiTheme="minorHAnsi" w:hAnsiTheme="minorHAnsi" w:cs="Calibri"/>
                      <w:b/>
                      <w:sz w:val="22"/>
                      <w:szCs w:val="22"/>
                      <w:lang w:val="es-EC"/>
                    </w:rPr>
                    <w:t>Código SCN 2008</w:t>
                  </w:r>
                </w:p>
              </w:tc>
              <w:tc>
                <w:tcPr>
                  <w:tcW w:w="972" w:type="pct"/>
                  <w:shd w:val="clear" w:color="auto" w:fill="DBE5F1" w:themeFill="accent1" w:themeFillTint="33"/>
                  <w:vAlign w:val="center"/>
                </w:tcPr>
                <w:p w:rsidR="00C40CC5" w:rsidRPr="00B60624" w:rsidRDefault="00C40CC5" w:rsidP="009D36F2">
                  <w:pPr>
                    <w:spacing w:before="120" w:after="120"/>
                    <w:jc w:val="center"/>
                    <w:rPr>
                      <w:rFonts w:asciiTheme="minorHAnsi" w:hAnsiTheme="minorHAnsi" w:cs="Calibri"/>
                      <w:b/>
                      <w:szCs w:val="22"/>
                      <w:lang w:val="es-EC"/>
                    </w:rPr>
                  </w:pPr>
                  <w:r w:rsidRPr="00B60624">
                    <w:rPr>
                      <w:rFonts w:asciiTheme="minorHAnsi" w:hAnsiTheme="minorHAnsi" w:cs="Calibri"/>
                      <w:b/>
                      <w:sz w:val="22"/>
                      <w:szCs w:val="22"/>
                      <w:lang w:val="es-EC"/>
                    </w:rPr>
                    <w:t>Transacción</w:t>
                  </w:r>
                </w:p>
              </w:tc>
              <w:tc>
                <w:tcPr>
                  <w:tcW w:w="3528" w:type="pct"/>
                  <w:shd w:val="clear" w:color="auto" w:fill="DBE5F1" w:themeFill="accent1" w:themeFillTint="33"/>
                  <w:vAlign w:val="center"/>
                </w:tcPr>
                <w:p w:rsidR="00C40CC5" w:rsidRPr="00B60624" w:rsidRDefault="00C40CC5" w:rsidP="009D36F2">
                  <w:pPr>
                    <w:spacing w:before="120" w:after="120"/>
                    <w:jc w:val="center"/>
                    <w:rPr>
                      <w:rFonts w:asciiTheme="minorHAnsi" w:hAnsiTheme="minorHAnsi" w:cs="Calibri"/>
                      <w:b/>
                      <w:szCs w:val="22"/>
                      <w:lang w:val="es-EC"/>
                    </w:rPr>
                  </w:pPr>
                  <w:r w:rsidRPr="00B60624">
                    <w:rPr>
                      <w:rFonts w:asciiTheme="minorHAnsi" w:hAnsiTheme="minorHAnsi" w:cs="Calibri"/>
                      <w:b/>
                      <w:sz w:val="22"/>
                      <w:szCs w:val="22"/>
                      <w:lang w:val="es-EC"/>
                    </w:rPr>
                    <w:t>Descripción</w:t>
                  </w:r>
                </w:p>
              </w:tc>
            </w:tr>
            <w:tr w:rsidR="00C40CC5" w:rsidRPr="00B60624" w:rsidTr="009D36F2">
              <w:trPr>
                <w:trHeight w:val="156"/>
              </w:trPr>
              <w:tc>
                <w:tcPr>
                  <w:tcW w:w="500" w:type="pct"/>
                </w:tcPr>
                <w:p w:rsidR="00C40CC5" w:rsidRPr="00B60624" w:rsidRDefault="00C40CC5" w:rsidP="009D36F2">
                  <w:pPr>
                    <w:spacing w:before="120" w:after="120"/>
                    <w:rPr>
                      <w:rFonts w:asciiTheme="minorHAnsi" w:hAnsiTheme="minorHAnsi" w:cs="Calibri"/>
                      <w:b/>
                      <w:bCs/>
                      <w:szCs w:val="22"/>
                    </w:rPr>
                  </w:pPr>
                  <w:r w:rsidRPr="00B60624">
                    <w:rPr>
                      <w:rFonts w:asciiTheme="minorHAnsi" w:eastAsiaTheme="minorHAnsi" w:hAnsiTheme="minorHAnsi" w:cs="Arial"/>
                      <w:b/>
                      <w:bCs/>
                      <w:color w:val="000000"/>
                      <w:sz w:val="22"/>
                      <w:szCs w:val="22"/>
                      <w:lang w:val="es-EC"/>
                    </w:rPr>
                    <w:t>B.7b</w:t>
                  </w:r>
                </w:p>
              </w:tc>
              <w:tc>
                <w:tcPr>
                  <w:tcW w:w="972" w:type="pct"/>
                </w:tcPr>
                <w:p w:rsidR="00C40CC5" w:rsidRPr="00B60624" w:rsidRDefault="00C40CC5" w:rsidP="009D36F2">
                  <w:pPr>
                    <w:spacing w:before="120" w:after="120"/>
                    <w:rPr>
                      <w:rFonts w:asciiTheme="minorHAnsi" w:hAnsiTheme="minorHAnsi" w:cs="Calibri"/>
                      <w:b/>
                      <w:bCs/>
                      <w:szCs w:val="22"/>
                    </w:rPr>
                  </w:pPr>
                  <w:r w:rsidRPr="00B60624">
                    <w:rPr>
                      <w:rFonts w:asciiTheme="minorHAnsi" w:hAnsiTheme="minorHAnsi"/>
                      <w:b/>
                      <w:bCs/>
                      <w:color w:val="000000"/>
                      <w:sz w:val="22"/>
                      <w:szCs w:val="22"/>
                    </w:rPr>
                    <w:t>Ingreso nacional disponible ajustado bruto</w:t>
                  </w:r>
                </w:p>
              </w:tc>
              <w:tc>
                <w:tcPr>
                  <w:tcW w:w="3528" w:type="pct"/>
                  <w:shd w:val="clear" w:color="auto" w:fill="auto"/>
                </w:tcPr>
                <w:p w:rsidR="00C40CC5" w:rsidRPr="009D7326" w:rsidRDefault="00C40CC5" w:rsidP="009D36F2">
                  <w:pPr>
                    <w:autoSpaceDE w:val="0"/>
                    <w:autoSpaceDN w:val="0"/>
                    <w:adjustRightInd w:val="0"/>
                    <w:jc w:val="both"/>
                    <w:rPr>
                      <w:rFonts w:asciiTheme="minorHAnsi" w:eastAsiaTheme="minorHAnsi" w:hAnsiTheme="minorHAnsi" w:cs="Arial"/>
                      <w:bCs/>
                      <w:color w:val="000000"/>
                      <w:szCs w:val="22"/>
                    </w:rPr>
                  </w:pPr>
                  <w:r w:rsidRPr="009D7326">
                    <w:rPr>
                      <w:rFonts w:asciiTheme="minorHAnsi" w:eastAsiaTheme="minorHAnsi" w:hAnsiTheme="minorHAnsi" w:cs="Arial"/>
                      <w:bCs/>
                      <w:color w:val="000000"/>
                      <w:sz w:val="22"/>
                      <w:szCs w:val="22"/>
                    </w:rPr>
                    <w:t>El ingreso disponible ajustado, que es el saldo</w:t>
                  </w:r>
                  <w:r>
                    <w:rPr>
                      <w:rFonts w:asciiTheme="minorHAnsi" w:eastAsiaTheme="minorHAnsi" w:hAnsiTheme="minorHAnsi" w:cs="Arial"/>
                      <w:bCs/>
                      <w:color w:val="000000"/>
                      <w:sz w:val="22"/>
                      <w:szCs w:val="22"/>
                    </w:rPr>
                    <w:t xml:space="preserve"> </w:t>
                  </w:r>
                  <w:r w:rsidRPr="009D7326">
                    <w:rPr>
                      <w:rFonts w:asciiTheme="minorHAnsi" w:eastAsiaTheme="minorHAnsi" w:hAnsiTheme="minorHAnsi" w:cs="Arial"/>
                      <w:bCs/>
                      <w:color w:val="000000"/>
                      <w:sz w:val="22"/>
                      <w:szCs w:val="22"/>
                    </w:rPr>
                    <w:t xml:space="preserve">contable proveniente </w:t>
                  </w:r>
                  <w:r>
                    <w:rPr>
                      <w:rFonts w:asciiTheme="minorHAnsi" w:eastAsiaTheme="minorHAnsi" w:hAnsiTheme="minorHAnsi" w:cs="Arial"/>
                      <w:bCs/>
                      <w:color w:val="000000"/>
                      <w:sz w:val="22"/>
                      <w:szCs w:val="22"/>
                    </w:rPr>
                    <w:t xml:space="preserve">de la cuenta de utilización del </w:t>
                  </w:r>
                  <w:r w:rsidRPr="009D7326">
                    <w:rPr>
                      <w:rFonts w:asciiTheme="minorHAnsi" w:eastAsiaTheme="minorHAnsi" w:hAnsiTheme="minorHAnsi" w:cs="Arial"/>
                      <w:bCs/>
                      <w:color w:val="000000"/>
                      <w:sz w:val="22"/>
                      <w:szCs w:val="22"/>
                    </w:rPr>
                    <w:t>ingreso en especie, se re</w:t>
                  </w:r>
                  <w:r>
                    <w:rPr>
                      <w:rFonts w:asciiTheme="minorHAnsi" w:eastAsiaTheme="minorHAnsi" w:hAnsiTheme="minorHAnsi" w:cs="Arial"/>
                      <w:bCs/>
                      <w:color w:val="000000"/>
                      <w:sz w:val="22"/>
                      <w:szCs w:val="22"/>
                    </w:rPr>
                    <w:t xml:space="preserve">gistra en el lado derecho de la </w:t>
                  </w:r>
                  <w:r w:rsidRPr="009D7326">
                    <w:rPr>
                      <w:rFonts w:asciiTheme="minorHAnsi" w:eastAsiaTheme="minorHAnsi" w:hAnsiTheme="minorHAnsi" w:cs="Arial"/>
                      <w:bCs/>
                      <w:color w:val="000000"/>
                      <w:sz w:val="22"/>
                      <w:szCs w:val="22"/>
                    </w:rPr>
                    <w:t>cuenta, en los recursos</w:t>
                  </w:r>
                  <w:r>
                    <w:rPr>
                      <w:rFonts w:asciiTheme="minorHAnsi" w:eastAsiaTheme="minorHAnsi" w:hAnsiTheme="minorHAnsi" w:cs="Arial"/>
                      <w:bCs/>
                      <w:color w:val="000000"/>
                      <w:sz w:val="22"/>
                      <w:szCs w:val="22"/>
                    </w:rPr>
                    <w:t xml:space="preserve">, mientras que el consumo final </w:t>
                  </w:r>
                  <w:r w:rsidRPr="009D7326">
                    <w:rPr>
                      <w:rFonts w:asciiTheme="minorHAnsi" w:eastAsiaTheme="minorHAnsi" w:hAnsiTheme="minorHAnsi" w:cs="Arial"/>
                      <w:bCs/>
                      <w:color w:val="000000"/>
                      <w:sz w:val="22"/>
                      <w:szCs w:val="22"/>
                    </w:rPr>
                    <w:t>efectivo se registra en el lado izquierdo, en los empleos.</w:t>
                  </w:r>
                </w:p>
                <w:p w:rsidR="00C40CC5" w:rsidRPr="009D7326" w:rsidRDefault="00C40CC5" w:rsidP="009D36F2">
                  <w:pPr>
                    <w:autoSpaceDE w:val="0"/>
                    <w:autoSpaceDN w:val="0"/>
                    <w:adjustRightInd w:val="0"/>
                    <w:jc w:val="both"/>
                    <w:rPr>
                      <w:rFonts w:asciiTheme="minorHAnsi" w:eastAsiaTheme="minorHAnsi" w:hAnsiTheme="minorHAnsi" w:cs="Arial"/>
                      <w:bCs/>
                      <w:color w:val="000000"/>
                      <w:szCs w:val="22"/>
                    </w:rPr>
                  </w:pPr>
                  <w:r w:rsidRPr="009D7326">
                    <w:rPr>
                      <w:rFonts w:asciiTheme="minorHAnsi" w:eastAsiaTheme="minorHAnsi" w:hAnsiTheme="minorHAnsi" w:cs="Arial"/>
                      <w:bCs/>
                      <w:color w:val="000000"/>
                      <w:sz w:val="22"/>
                      <w:szCs w:val="22"/>
                    </w:rPr>
                    <w:t>Como sucede en la cu</w:t>
                  </w:r>
                  <w:r>
                    <w:rPr>
                      <w:rFonts w:asciiTheme="minorHAnsi" w:eastAsiaTheme="minorHAnsi" w:hAnsiTheme="minorHAnsi" w:cs="Arial"/>
                      <w:bCs/>
                      <w:color w:val="000000"/>
                      <w:sz w:val="22"/>
                      <w:szCs w:val="22"/>
                    </w:rPr>
                    <w:t xml:space="preserve">enta de utilización del ingreso </w:t>
                  </w:r>
                  <w:r w:rsidRPr="009D7326">
                    <w:rPr>
                      <w:rFonts w:asciiTheme="minorHAnsi" w:eastAsiaTheme="minorHAnsi" w:hAnsiTheme="minorHAnsi" w:cs="Arial"/>
                      <w:bCs/>
                      <w:color w:val="000000"/>
                      <w:sz w:val="22"/>
                      <w:szCs w:val="22"/>
                    </w:rPr>
                    <w:t xml:space="preserve">disponible, </w:t>
                  </w:r>
                  <w:r w:rsidRPr="009D7326">
                    <w:rPr>
                      <w:rFonts w:asciiTheme="minorHAnsi" w:eastAsiaTheme="minorHAnsi" w:hAnsiTheme="minorHAnsi" w:cs="Arial"/>
                      <w:bCs/>
                      <w:color w:val="000000"/>
                      <w:sz w:val="22"/>
                      <w:szCs w:val="22"/>
                    </w:rPr>
                    <w:lastRenderedPageBreak/>
                    <w:t>antes de obtene</w:t>
                  </w:r>
                  <w:r>
                    <w:rPr>
                      <w:rFonts w:asciiTheme="minorHAnsi" w:eastAsiaTheme="minorHAnsi" w:hAnsiTheme="minorHAnsi" w:cs="Arial"/>
                      <w:bCs/>
                      <w:color w:val="000000"/>
                      <w:sz w:val="22"/>
                      <w:szCs w:val="22"/>
                    </w:rPr>
                    <w:t xml:space="preserve">r el saldo contable, el ahorro, </w:t>
                  </w:r>
                  <w:r w:rsidRPr="009D7326">
                    <w:rPr>
                      <w:rFonts w:asciiTheme="minorHAnsi" w:eastAsiaTheme="minorHAnsi" w:hAnsiTheme="minorHAnsi" w:cs="Arial"/>
                      <w:bCs/>
                      <w:color w:val="000000"/>
                      <w:sz w:val="22"/>
                      <w:szCs w:val="22"/>
                    </w:rPr>
                    <w:t>es preciso incorporar el</w:t>
                  </w:r>
                  <w:r>
                    <w:rPr>
                      <w:rFonts w:asciiTheme="minorHAnsi" w:eastAsiaTheme="minorHAnsi" w:hAnsiTheme="minorHAnsi" w:cs="Arial"/>
                      <w:bCs/>
                      <w:color w:val="000000"/>
                      <w:sz w:val="22"/>
                      <w:szCs w:val="22"/>
                    </w:rPr>
                    <w:t xml:space="preserve"> ajuste por la variación en los </w:t>
                  </w:r>
                  <w:r w:rsidRPr="009D7326">
                    <w:rPr>
                      <w:rFonts w:asciiTheme="minorHAnsi" w:eastAsiaTheme="minorHAnsi" w:hAnsiTheme="minorHAnsi" w:cs="Arial"/>
                      <w:bCs/>
                      <w:color w:val="000000"/>
                      <w:sz w:val="22"/>
                      <w:szCs w:val="22"/>
                    </w:rPr>
                    <w:t>derechos de pensión. La cuenta es relevante</w:t>
                  </w:r>
                  <w:r>
                    <w:rPr>
                      <w:rFonts w:asciiTheme="minorHAnsi" w:eastAsiaTheme="minorHAnsi" w:hAnsiTheme="minorHAnsi" w:cs="Arial"/>
                      <w:bCs/>
                      <w:color w:val="000000"/>
                      <w:sz w:val="22"/>
                      <w:szCs w:val="22"/>
                    </w:rPr>
                    <w:t>.  (SCN2008, 9.15)</w:t>
                  </w:r>
                </w:p>
                <w:p w:rsidR="00C40CC5" w:rsidRPr="00B60624" w:rsidRDefault="00C40CC5" w:rsidP="009D36F2">
                  <w:pPr>
                    <w:spacing w:before="120" w:after="120"/>
                    <w:rPr>
                      <w:rFonts w:asciiTheme="minorHAnsi" w:hAnsiTheme="minorHAnsi"/>
                      <w:szCs w:val="22"/>
                    </w:rPr>
                  </w:pPr>
                  <w:r w:rsidRPr="009D7326">
                    <w:rPr>
                      <w:rFonts w:asciiTheme="minorHAnsi" w:eastAsiaTheme="minorHAnsi" w:hAnsiTheme="minorHAnsi" w:cs="Arial"/>
                      <w:bCs/>
                      <w:color w:val="000000"/>
                      <w:sz w:val="22"/>
                      <w:szCs w:val="22"/>
                    </w:rPr>
                    <w:t>principalmente para el gobierno</w:t>
                  </w:r>
                </w:p>
              </w:tc>
            </w:tr>
            <w:tr w:rsidR="00C40CC5" w:rsidRPr="00B60624" w:rsidTr="009D36F2">
              <w:trPr>
                <w:trHeight w:val="156"/>
              </w:trPr>
              <w:tc>
                <w:tcPr>
                  <w:tcW w:w="500" w:type="pct"/>
                </w:tcPr>
                <w:p w:rsidR="00C40CC5" w:rsidRPr="00B60624" w:rsidRDefault="00C40CC5" w:rsidP="009D36F2">
                  <w:pPr>
                    <w:spacing w:before="120" w:after="120"/>
                    <w:rPr>
                      <w:rFonts w:asciiTheme="minorHAnsi" w:eastAsiaTheme="minorHAnsi" w:hAnsiTheme="minorHAnsi" w:cs="Arial"/>
                      <w:b/>
                      <w:bCs/>
                      <w:color w:val="000000"/>
                      <w:szCs w:val="22"/>
                    </w:rPr>
                  </w:pPr>
                  <w:r w:rsidRPr="00B60624">
                    <w:rPr>
                      <w:rFonts w:asciiTheme="minorHAnsi" w:eastAsiaTheme="minorHAnsi" w:hAnsiTheme="minorHAnsi" w:cs="Arial"/>
                      <w:b/>
                      <w:bCs/>
                      <w:color w:val="000000"/>
                      <w:sz w:val="22"/>
                      <w:szCs w:val="22"/>
                      <w:lang w:val="es-EC"/>
                    </w:rPr>
                    <w:lastRenderedPageBreak/>
                    <w:t xml:space="preserve">B.7n </w:t>
                  </w:r>
                </w:p>
              </w:tc>
              <w:tc>
                <w:tcPr>
                  <w:tcW w:w="972" w:type="pct"/>
                </w:tcPr>
                <w:p w:rsidR="00C40CC5" w:rsidRPr="00B60624" w:rsidRDefault="00C40CC5" w:rsidP="009D36F2">
                  <w:pPr>
                    <w:spacing w:before="120" w:after="120"/>
                    <w:rPr>
                      <w:rFonts w:asciiTheme="minorHAnsi" w:hAnsiTheme="minorHAnsi"/>
                      <w:szCs w:val="22"/>
                    </w:rPr>
                  </w:pPr>
                  <w:r w:rsidRPr="00B60624">
                    <w:rPr>
                      <w:rFonts w:asciiTheme="minorHAnsi" w:hAnsiTheme="minorHAnsi"/>
                      <w:b/>
                      <w:bCs/>
                      <w:color w:val="000000"/>
                      <w:sz w:val="22"/>
                      <w:szCs w:val="22"/>
                    </w:rPr>
                    <w:t>Ingreso nacional disponible ajustado neto</w:t>
                  </w:r>
                </w:p>
              </w:tc>
              <w:tc>
                <w:tcPr>
                  <w:tcW w:w="3528" w:type="pct"/>
                  <w:shd w:val="clear" w:color="auto" w:fill="auto"/>
                </w:tcPr>
                <w:p w:rsidR="00C40CC5" w:rsidRPr="008B6AF4" w:rsidRDefault="00C40CC5" w:rsidP="009D36F2">
                  <w:pPr>
                    <w:spacing w:before="120" w:after="120"/>
                    <w:jc w:val="both"/>
                    <w:rPr>
                      <w:rFonts w:asciiTheme="minorHAnsi" w:eastAsiaTheme="minorHAnsi" w:hAnsiTheme="minorHAnsi" w:cs="Arial"/>
                      <w:bCs/>
                      <w:color w:val="000000"/>
                      <w:szCs w:val="22"/>
                    </w:rPr>
                  </w:pPr>
                  <w:r w:rsidRPr="008B6AF4">
                    <w:rPr>
                      <w:rFonts w:asciiTheme="minorHAnsi" w:eastAsiaTheme="minorHAnsi" w:hAnsiTheme="minorHAnsi" w:cs="Arial"/>
                      <w:bCs/>
                      <w:color w:val="000000"/>
                      <w:sz w:val="22"/>
                      <w:szCs w:val="22"/>
                    </w:rPr>
                    <w:t>El ingreso disponible ajustado, que es el saldo</w:t>
                  </w:r>
                  <w:r>
                    <w:rPr>
                      <w:rFonts w:asciiTheme="minorHAnsi" w:eastAsiaTheme="minorHAnsi" w:hAnsiTheme="minorHAnsi" w:cs="Arial"/>
                      <w:bCs/>
                      <w:color w:val="000000"/>
                      <w:sz w:val="22"/>
                      <w:szCs w:val="22"/>
                    </w:rPr>
                    <w:t xml:space="preserve"> </w:t>
                  </w:r>
                  <w:r w:rsidRPr="008B6AF4">
                    <w:rPr>
                      <w:rFonts w:asciiTheme="minorHAnsi" w:eastAsiaTheme="minorHAnsi" w:hAnsiTheme="minorHAnsi" w:cs="Arial"/>
                      <w:bCs/>
                      <w:color w:val="000000"/>
                      <w:sz w:val="22"/>
                      <w:szCs w:val="22"/>
                    </w:rPr>
                    <w:t>contable proveniente de la cuenta de utilización del</w:t>
                  </w:r>
                  <w:r>
                    <w:rPr>
                      <w:rFonts w:asciiTheme="minorHAnsi" w:eastAsiaTheme="minorHAnsi" w:hAnsiTheme="minorHAnsi" w:cs="Arial"/>
                      <w:bCs/>
                      <w:color w:val="000000"/>
                      <w:sz w:val="22"/>
                      <w:szCs w:val="22"/>
                    </w:rPr>
                    <w:t xml:space="preserve"> </w:t>
                  </w:r>
                  <w:r w:rsidRPr="008B6AF4">
                    <w:rPr>
                      <w:rFonts w:asciiTheme="minorHAnsi" w:eastAsiaTheme="minorHAnsi" w:hAnsiTheme="minorHAnsi" w:cs="Arial"/>
                      <w:bCs/>
                      <w:color w:val="000000"/>
                      <w:sz w:val="22"/>
                      <w:szCs w:val="22"/>
                    </w:rPr>
                    <w:t>ingreso en especie, se registra en el lado derecho de la</w:t>
                  </w:r>
                  <w:r>
                    <w:rPr>
                      <w:rFonts w:asciiTheme="minorHAnsi" w:eastAsiaTheme="minorHAnsi" w:hAnsiTheme="minorHAnsi" w:cs="Arial"/>
                      <w:bCs/>
                      <w:color w:val="000000"/>
                      <w:sz w:val="22"/>
                      <w:szCs w:val="22"/>
                    </w:rPr>
                    <w:t xml:space="preserve"> </w:t>
                  </w:r>
                  <w:r w:rsidRPr="008B6AF4">
                    <w:rPr>
                      <w:rFonts w:asciiTheme="minorHAnsi" w:eastAsiaTheme="minorHAnsi" w:hAnsiTheme="minorHAnsi" w:cs="Arial"/>
                      <w:bCs/>
                      <w:color w:val="000000"/>
                      <w:sz w:val="22"/>
                      <w:szCs w:val="22"/>
                    </w:rPr>
                    <w:t>cuenta, en los recursos, mientras que el consumo final</w:t>
                  </w:r>
                  <w:r>
                    <w:rPr>
                      <w:rFonts w:asciiTheme="minorHAnsi" w:eastAsiaTheme="minorHAnsi" w:hAnsiTheme="minorHAnsi" w:cs="Arial"/>
                      <w:bCs/>
                      <w:color w:val="000000"/>
                      <w:sz w:val="22"/>
                      <w:szCs w:val="22"/>
                    </w:rPr>
                    <w:t xml:space="preserve"> </w:t>
                  </w:r>
                  <w:r w:rsidRPr="008B6AF4">
                    <w:rPr>
                      <w:rFonts w:asciiTheme="minorHAnsi" w:eastAsiaTheme="minorHAnsi" w:hAnsiTheme="minorHAnsi" w:cs="Arial"/>
                      <w:bCs/>
                      <w:color w:val="000000"/>
                      <w:sz w:val="22"/>
                      <w:szCs w:val="22"/>
                    </w:rPr>
                    <w:t>efectivo se registra en el lado izquierdo, en los empleos.</w:t>
                  </w:r>
                </w:p>
                <w:p w:rsidR="00C40CC5" w:rsidRDefault="00C40CC5" w:rsidP="009D36F2">
                  <w:pPr>
                    <w:spacing w:before="120" w:after="120"/>
                    <w:jc w:val="both"/>
                    <w:rPr>
                      <w:rFonts w:asciiTheme="minorHAnsi" w:eastAsiaTheme="minorHAnsi" w:hAnsiTheme="minorHAnsi" w:cs="Arial"/>
                      <w:bCs/>
                      <w:color w:val="000000"/>
                      <w:szCs w:val="22"/>
                    </w:rPr>
                  </w:pPr>
                  <w:r w:rsidRPr="008B6AF4">
                    <w:rPr>
                      <w:rFonts w:asciiTheme="minorHAnsi" w:eastAsiaTheme="minorHAnsi" w:hAnsiTheme="minorHAnsi" w:cs="Arial"/>
                      <w:bCs/>
                      <w:color w:val="000000"/>
                      <w:sz w:val="22"/>
                      <w:szCs w:val="22"/>
                    </w:rPr>
                    <w:t>Como sucede en la cuenta de utilización del ingreso</w:t>
                  </w:r>
                  <w:r>
                    <w:rPr>
                      <w:rFonts w:asciiTheme="minorHAnsi" w:eastAsiaTheme="minorHAnsi" w:hAnsiTheme="minorHAnsi" w:cs="Arial"/>
                      <w:bCs/>
                      <w:color w:val="000000"/>
                      <w:sz w:val="22"/>
                      <w:szCs w:val="22"/>
                    </w:rPr>
                    <w:t xml:space="preserve"> </w:t>
                  </w:r>
                  <w:r w:rsidRPr="008B6AF4">
                    <w:rPr>
                      <w:rFonts w:asciiTheme="minorHAnsi" w:eastAsiaTheme="minorHAnsi" w:hAnsiTheme="minorHAnsi" w:cs="Arial"/>
                      <w:bCs/>
                      <w:color w:val="000000"/>
                      <w:sz w:val="22"/>
                      <w:szCs w:val="22"/>
                    </w:rPr>
                    <w:t>disponible, antes de obtener el saldo contable, el ahorro,</w:t>
                  </w:r>
                  <w:r>
                    <w:rPr>
                      <w:rFonts w:asciiTheme="minorHAnsi" w:eastAsiaTheme="minorHAnsi" w:hAnsiTheme="minorHAnsi" w:cs="Arial"/>
                      <w:bCs/>
                      <w:color w:val="000000"/>
                      <w:sz w:val="22"/>
                      <w:szCs w:val="22"/>
                    </w:rPr>
                    <w:t xml:space="preserve"> </w:t>
                  </w:r>
                  <w:r w:rsidRPr="008B6AF4">
                    <w:rPr>
                      <w:rFonts w:asciiTheme="minorHAnsi" w:eastAsiaTheme="minorHAnsi" w:hAnsiTheme="minorHAnsi" w:cs="Arial"/>
                      <w:bCs/>
                      <w:color w:val="000000"/>
                      <w:sz w:val="22"/>
                      <w:szCs w:val="22"/>
                    </w:rPr>
                    <w:t>es preciso incorporar el ajuste por la variación en los</w:t>
                  </w:r>
                  <w:r>
                    <w:rPr>
                      <w:rFonts w:asciiTheme="minorHAnsi" w:eastAsiaTheme="minorHAnsi" w:hAnsiTheme="minorHAnsi" w:cs="Arial"/>
                      <w:bCs/>
                      <w:color w:val="000000"/>
                      <w:sz w:val="22"/>
                      <w:szCs w:val="22"/>
                    </w:rPr>
                    <w:t xml:space="preserve"> </w:t>
                  </w:r>
                  <w:r w:rsidRPr="008B6AF4">
                    <w:rPr>
                      <w:rFonts w:asciiTheme="minorHAnsi" w:eastAsiaTheme="minorHAnsi" w:hAnsiTheme="minorHAnsi" w:cs="Arial"/>
                      <w:bCs/>
                      <w:color w:val="000000"/>
                      <w:sz w:val="22"/>
                      <w:szCs w:val="22"/>
                    </w:rPr>
                    <w:t>derechos de pensión. La cuenta es relevante</w:t>
                  </w:r>
                  <w:r>
                    <w:rPr>
                      <w:rFonts w:asciiTheme="minorHAnsi" w:eastAsiaTheme="minorHAnsi" w:hAnsiTheme="minorHAnsi" w:cs="Arial"/>
                      <w:bCs/>
                      <w:color w:val="000000"/>
                      <w:sz w:val="22"/>
                      <w:szCs w:val="22"/>
                    </w:rPr>
                    <w:t xml:space="preserve"> </w:t>
                  </w:r>
                  <w:r w:rsidRPr="008B6AF4">
                    <w:rPr>
                      <w:rFonts w:asciiTheme="minorHAnsi" w:eastAsiaTheme="minorHAnsi" w:hAnsiTheme="minorHAnsi" w:cs="Arial"/>
                      <w:bCs/>
                      <w:color w:val="000000"/>
                      <w:sz w:val="22"/>
                      <w:szCs w:val="22"/>
                    </w:rPr>
                    <w:t>principalmente para el gobierno</w:t>
                  </w:r>
                  <w:r>
                    <w:rPr>
                      <w:rFonts w:asciiTheme="minorHAnsi" w:eastAsiaTheme="minorHAnsi" w:hAnsiTheme="minorHAnsi" w:cs="Arial"/>
                      <w:bCs/>
                      <w:color w:val="000000"/>
                      <w:sz w:val="22"/>
                      <w:szCs w:val="22"/>
                    </w:rPr>
                    <w:t>.</w:t>
                  </w:r>
                </w:p>
                <w:p w:rsidR="00C40CC5" w:rsidRPr="00B60624" w:rsidRDefault="00C40CC5" w:rsidP="009D36F2">
                  <w:pPr>
                    <w:spacing w:before="120" w:after="120"/>
                    <w:jc w:val="both"/>
                    <w:rPr>
                      <w:rFonts w:asciiTheme="minorHAnsi" w:hAnsiTheme="minorHAnsi"/>
                      <w:szCs w:val="22"/>
                    </w:rPr>
                  </w:pPr>
                  <w:r>
                    <w:rPr>
                      <w:rFonts w:asciiTheme="minorHAnsi" w:eastAsiaTheme="minorHAnsi" w:hAnsiTheme="minorHAnsi" w:cs="Arial"/>
                      <w:bCs/>
                      <w:color w:val="000000"/>
                      <w:sz w:val="22"/>
                      <w:szCs w:val="22"/>
                    </w:rPr>
                    <w:t>(SCN2008, 9.15)</w:t>
                  </w:r>
                </w:p>
              </w:tc>
            </w:tr>
            <w:tr w:rsidR="00C40CC5" w:rsidRPr="00B60624" w:rsidTr="009D36F2">
              <w:trPr>
                <w:trHeight w:val="156"/>
              </w:trPr>
              <w:tc>
                <w:tcPr>
                  <w:tcW w:w="500" w:type="pct"/>
                </w:tcPr>
                <w:p w:rsidR="00C40CC5" w:rsidRPr="00B60624" w:rsidRDefault="00C40CC5" w:rsidP="009D36F2">
                  <w:pPr>
                    <w:spacing w:before="120" w:after="120"/>
                    <w:rPr>
                      <w:rFonts w:asciiTheme="minorHAnsi" w:hAnsiTheme="minorHAnsi"/>
                      <w:szCs w:val="22"/>
                    </w:rPr>
                  </w:pPr>
                  <w:r w:rsidRPr="00B60624">
                    <w:rPr>
                      <w:rFonts w:asciiTheme="minorHAnsi" w:eastAsiaTheme="minorHAnsi" w:hAnsiTheme="minorHAnsi" w:cs="Arial"/>
                      <w:b/>
                      <w:bCs/>
                      <w:color w:val="000000"/>
                      <w:sz w:val="22"/>
                      <w:szCs w:val="22"/>
                      <w:lang w:val="es-EC"/>
                    </w:rPr>
                    <w:t xml:space="preserve">P.41 </w:t>
                  </w:r>
                </w:p>
              </w:tc>
              <w:tc>
                <w:tcPr>
                  <w:tcW w:w="972" w:type="pct"/>
                </w:tcPr>
                <w:p w:rsidR="00C40CC5" w:rsidRPr="00B60624" w:rsidRDefault="00C40CC5" w:rsidP="009D36F2">
                  <w:pPr>
                    <w:spacing w:before="120" w:after="120"/>
                    <w:rPr>
                      <w:rFonts w:asciiTheme="minorHAnsi" w:hAnsiTheme="minorHAnsi"/>
                      <w:szCs w:val="22"/>
                    </w:rPr>
                  </w:pPr>
                  <w:r w:rsidRPr="00B60624">
                    <w:rPr>
                      <w:rFonts w:asciiTheme="minorHAnsi" w:eastAsiaTheme="minorHAnsi" w:hAnsiTheme="minorHAnsi" w:cs="Arial"/>
                      <w:b/>
                      <w:bCs/>
                      <w:color w:val="000000"/>
                      <w:sz w:val="22"/>
                      <w:szCs w:val="22"/>
                      <w:lang w:val="es-EC"/>
                    </w:rPr>
                    <w:t>Consumo final individual efectivo</w:t>
                  </w:r>
                </w:p>
              </w:tc>
              <w:tc>
                <w:tcPr>
                  <w:tcW w:w="3528" w:type="pct"/>
                  <w:shd w:val="clear" w:color="auto" w:fill="auto"/>
                </w:tcPr>
                <w:p w:rsidR="00C40CC5" w:rsidRPr="008B6AF4" w:rsidRDefault="00C40CC5" w:rsidP="009D36F2">
                  <w:pPr>
                    <w:spacing w:before="120" w:after="120"/>
                    <w:jc w:val="both"/>
                    <w:rPr>
                      <w:rFonts w:asciiTheme="minorHAnsi" w:eastAsiaTheme="minorHAnsi" w:hAnsiTheme="minorHAnsi" w:cs="Arial"/>
                      <w:bCs/>
                      <w:color w:val="000000"/>
                      <w:szCs w:val="22"/>
                    </w:rPr>
                  </w:pPr>
                  <w:r w:rsidRPr="00C802D5">
                    <w:rPr>
                      <w:rFonts w:asciiTheme="minorHAnsi" w:eastAsiaTheme="minorHAnsi" w:hAnsiTheme="minorHAnsi" w:cs="Arial"/>
                      <w:bCs/>
                      <w:color w:val="000000"/>
                      <w:sz w:val="22"/>
                      <w:szCs w:val="22"/>
                    </w:rPr>
                    <w:t>Un bien o servicio de consumo individual es aquél que es adquirido por un hogar y utilizado para satisfacer las necesidades y deseo</w:t>
                  </w:r>
                  <w:r>
                    <w:rPr>
                      <w:rFonts w:asciiTheme="minorHAnsi" w:eastAsiaTheme="minorHAnsi" w:hAnsiTheme="minorHAnsi" w:cs="Arial"/>
                      <w:bCs/>
                      <w:color w:val="000000"/>
                      <w:sz w:val="22"/>
                      <w:szCs w:val="22"/>
                    </w:rPr>
                    <w:t xml:space="preserve">s de sus miembros. Los bienes y </w:t>
                  </w:r>
                  <w:r w:rsidRPr="00C802D5">
                    <w:rPr>
                      <w:rFonts w:asciiTheme="minorHAnsi" w:eastAsiaTheme="minorHAnsi" w:hAnsiTheme="minorHAnsi" w:cs="Arial"/>
                      <w:bCs/>
                      <w:color w:val="000000"/>
                      <w:sz w:val="22"/>
                      <w:szCs w:val="22"/>
                    </w:rPr>
                    <w:t>servicios individuales pueden comprarse y venderse siempre en el mercado, aunque también pueden suministrarse gratuitamente, o a precios económicamente no significativos, bajo la forma de transferencias sociales en especie. En la práctica, todos los bienes y la mayoría de los servicios son individuales.</w:t>
                  </w:r>
                  <w:r>
                    <w:rPr>
                      <w:rFonts w:asciiTheme="minorHAnsi" w:eastAsiaTheme="minorHAnsi" w:hAnsiTheme="minorHAnsi" w:cs="Arial"/>
                      <w:bCs/>
                      <w:color w:val="000000"/>
                      <w:sz w:val="22"/>
                      <w:szCs w:val="22"/>
                    </w:rPr>
                    <w:t xml:space="preserve">  (SCN2008, 9.3)</w:t>
                  </w:r>
                </w:p>
              </w:tc>
            </w:tr>
            <w:tr w:rsidR="00C40CC5" w:rsidRPr="00B60624" w:rsidTr="009D36F2">
              <w:trPr>
                <w:trHeight w:val="156"/>
              </w:trPr>
              <w:tc>
                <w:tcPr>
                  <w:tcW w:w="500" w:type="pct"/>
                </w:tcPr>
                <w:p w:rsidR="00C40CC5" w:rsidRPr="00B60624" w:rsidRDefault="00C40CC5" w:rsidP="009D36F2">
                  <w:pPr>
                    <w:spacing w:before="120" w:after="120"/>
                    <w:rPr>
                      <w:rFonts w:asciiTheme="minorHAnsi" w:hAnsiTheme="minorHAnsi"/>
                      <w:szCs w:val="22"/>
                    </w:rPr>
                  </w:pPr>
                  <w:r w:rsidRPr="00B60624">
                    <w:rPr>
                      <w:rFonts w:asciiTheme="minorHAnsi" w:eastAsiaTheme="minorHAnsi" w:hAnsiTheme="minorHAnsi" w:cs="Arial"/>
                      <w:b/>
                      <w:bCs/>
                      <w:color w:val="000000"/>
                      <w:sz w:val="22"/>
                      <w:szCs w:val="22"/>
                      <w:lang w:val="es-EC"/>
                    </w:rPr>
                    <w:t>P.42</w:t>
                  </w:r>
                </w:p>
              </w:tc>
              <w:tc>
                <w:tcPr>
                  <w:tcW w:w="972" w:type="pct"/>
                </w:tcPr>
                <w:p w:rsidR="00C40CC5" w:rsidRPr="00B60624" w:rsidRDefault="00C40CC5" w:rsidP="009D36F2">
                  <w:pPr>
                    <w:spacing w:before="120" w:after="120"/>
                    <w:rPr>
                      <w:rFonts w:asciiTheme="minorHAnsi" w:hAnsiTheme="minorHAnsi"/>
                      <w:szCs w:val="22"/>
                    </w:rPr>
                  </w:pPr>
                  <w:r w:rsidRPr="00B60624">
                    <w:rPr>
                      <w:rFonts w:asciiTheme="minorHAnsi" w:eastAsiaTheme="minorHAnsi" w:hAnsiTheme="minorHAnsi" w:cs="Arial"/>
                      <w:b/>
                      <w:bCs/>
                      <w:color w:val="000000"/>
                      <w:sz w:val="22"/>
                      <w:szCs w:val="22"/>
                      <w:lang w:val="es-EC"/>
                    </w:rPr>
                    <w:t>Consumo final colectivo efectivo</w:t>
                  </w:r>
                </w:p>
              </w:tc>
              <w:tc>
                <w:tcPr>
                  <w:tcW w:w="3528" w:type="pct"/>
                  <w:shd w:val="clear" w:color="auto" w:fill="auto"/>
                </w:tcPr>
                <w:p w:rsidR="00C40CC5" w:rsidRDefault="00C40CC5" w:rsidP="009D36F2">
                  <w:pPr>
                    <w:spacing w:before="120" w:after="120" w:line="276" w:lineRule="auto"/>
                    <w:jc w:val="both"/>
                    <w:rPr>
                      <w:rFonts w:asciiTheme="minorHAnsi" w:eastAsiaTheme="minorHAnsi" w:hAnsiTheme="minorHAnsi" w:cs="Arial"/>
                      <w:bCs/>
                      <w:color w:val="000000"/>
                      <w:szCs w:val="22"/>
                    </w:rPr>
                  </w:pPr>
                  <w:r w:rsidRPr="00C802D5">
                    <w:rPr>
                      <w:rFonts w:asciiTheme="minorHAnsi" w:eastAsiaTheme="minorHAnsi" w:hAnsiTheme="minorHAnsi" w:cs="Arial"/>
                      <w:bCs/>
                      <w:color w:val="000000"/>
                      <w:sz w:val="22"/>
                      <w:szCs w:val="22"/>
                    </w:rPr>
                    <w:t>Un servicio de consumo colectivo es el que se presta simultáneamente a todos los miembros de la comunidad o a todos los miembros de una sección particular de la</w:t>
                  </w:r>
                  <w:r>
                    <w:rPr>
                      <w:rFonts w:asciiTheme="minorHAnsi" w:eastAsiaTheme="minorHAnsi" w:hAnsiTheme="minorHAnsi" w:cs="Arial"/>
                      <w:bCs/>
                      <w:color w:val="000000"/>
                      <w:sz w:val="22"/>
                      <w:szCs w:val="22"/>
                    </w:rPr>
                    <w:t xml:space="preserve"> </w:t>
                  </w:r>
                  <w:r w:rsidRPr="00C802D5">
                    <w:rPr>
                      <w:rFonts w:asciiTheme="minorHAnsi" w:eastAsiaTheme="minorHAnsi" w:hAnsiTheme="minorHAnsi" w:cs="Arial"/>
                      <w:bCs/>
                      <w:color w:val="000000"/>
                      <w:sz w:val="22"/>
                      <w:szCs w:val="22"/>
                    </w:rPr>
                    <w:t xml:space="preserve">misma, por ejemplo, a todos los hogares que habitan en una región particular. Los servicios colectivos se adquieren y consumen </w:t>
                  </w:r>
                  <w:r>
                    <w:rPr>
                      <w:rFonts w:asciiTheme="minorHAnsi" w:eastAsiaTheme="minorHAnsi" w:hAnsiTheme="minorHAnsi" w:cs="Arial"/>
                      <w:bCs/>
                      <w:color w:val="000000"/>
                      <w:sz w:val="22"/>
                      <w:szCs w:val="22"/>
                    </w:rPr>
                    <w:t xml:space="preserve">automáticamente por todos los </w:t>
                  </w:r>
                  <w:r w:rsidRPr="00C802D5">
                    <w:rPr>
                      <w:rFonts w:asciiTheme="minorHAnsi" w:eastAsiaTheme="minorHAnsi" w:hAnsiTheme="minorHAnsi" w:cs="Arial"/>
                      <w:bCs/>
                      <w:color w:val="000000"/>
                      <w:sz w:val="22"/>
                      <w:szCs w:val="22"/>
                    </w:rPr>
                    <w:t xml:space="preserve">miembros de la comunidad, o sección de la comunidad, sin ninguna acción por parte de ésta. Ejemplos típicos son los servicios generales de la administración pública y los servicios de seguridad prestados a nivel nacional o local. Los servicios colectivos son los “bienes públicos” de la teoría económica. Por su naturaleza, los servicios colectivos no pueden </w:t>
                  </w:r>
                  <w:r>
                    <w:rPr>
                      <w:rFonts w:asciiTheme="minorHAnsi" w:eastAsiaTheme="minorHAnsi" w:hAnsiTheme="minorHAnsi" w:cs="Arial"/>
                      <w:bCs/>
                      <w:color w:val="000000"/>
                      <w:sz w:val="22"/>
                      <w:szCs w:val="22"/>
                    </w:rPr>
                    <w:t xml:space="preserve">venderse a los individuos en el </w:t>
                  </w:r>
                  <w:r w:rsidRPr="00C802D5">
                    <w:rPr>
                      <w:rFonts w:asciiTheme="minorHAnsi" w:eastAsiaTheme="minorHAnsi" w:hAnsiTheme="minorHAnsi" w:cs="Arial"/>
                      <w:bCs/>
                      <w:color w:val="000000"/>
                      <w:sz w:val="22"/>
                      <w:szCs w:val="22"/>
                    </w:rPr>
                    <w:t>mercado y son financiados por las unidades gubernamentales con ingresos tributarios o de otra clase.</w:t>
                  </w:r>
                </w:p>
                <w:p w:rsidR="00C40CC5" w:rsidRPr="008B6AF4" w:rsidRDefault="00C40CC5" w:rsidP="009D36F2">
                  <w:pPr>
                    <w:spacing w:before="120" w:after="120" w:line="276" w:lineRule="auto"/>
                    <w:jc w:val="both"/>
                    <w:rPr>
                      <w:rFonts w:asciiTheme="minorHAnsi" w:eastAsiaTheme="minorHAnsi" w:hAnsiTheme="minorHAnsi" w:cs="Arial"/>
                      <w:bCs/>
                      <w:color w:val="000000"/>
                      <w:szCs w:val="22"/>
                    </w:rPr>
                  </w:pPr>
                  <w:r>
                    <w:rPr>
                      <w:rFonts w:asciiTheme="minorHAnsi" w:eastAsiaTheme="minorHAnsi" w:hAnsiTheme="minorHAnsi" w:cs="Arial"/>
                      <w:bCs/>
                      <w:color w:val="000000"/>
                      <w:sz w:val="22"/>
                      <w:szCs w:val="22"/>
                    </w:rPr>
                    <w:t>(SCN2008, 9.4)</w:t>
                  </w:r>
                </w:p>
              </w:tc>
            </w:tr>
            <w:tr w:rsidR="00C40CC5" w:rsidRPr="00B60624" w:rsidTr="009D36F2">
              <w:trPr>
                <w:trHeight w:val="156"/>
              </w:trPr>
              <w:tc>
                <w:tcPr>
                  <w:tcW w:w="500" w:type="pct"/>
                </w:tcPr>
                <w:p w:rsidR="00C40CC5" w:rsidRPr="00B60624" w:rsidRDefault="00C40CC5" w:rsidP="009D36F2">
                  <w:pPr>
                    <w:spacing w:before="120" w:after="120"/>
                    <w:rPr>
                      <w:rFonts w:asciiTheme="minorHAnsi" w:hAnsiTheme="minorHAnsi"/>
                      <w:szCs w:val="22"/>
                    </w:rPr>
                  </w:pPr>
                  <w:r w:rsidRPr="00B60624">
                    <w:rPr>
                      <w:rFonts w:asciiTheme="minorHAnsi" w:eastAsiaTheme="minorHAnsi" w:hAnsiTheme="minorHAnsi" w:cs="Arial"/>
                      <w:b/>
                      <w:bCs/>
                      <w:color w:val="000000"/>
                      <w:sz w:val="22"/>
                      <w:szCs w:val="22"/>
                      <w:lang w:val="es-EC"/>
                    </w:rPr>
                    <w:t>B.8b</w:t>
                  </w:r>
                </w:p>
              </w:tc>
              <w:tc>
                <w:tcPr>
                  <w:tcW w:w="972" w:type="pct"/>
                </w:tcPr>
                <w:p w:rsidR="00C40CC5" w:rsidRPr="00B60624" w:rsidRDefault="00C40CC5" w:rsidP="009D36F2">
                  <w:pPr>
                    <w:spacing w:before="120" w:after="120"/>
                    <w:rPr>
                      <w:rFonts w:asciiTheme="minorHAnsi" w:hAnsiTheme="minorHAnsi"/>
                      <w:szCs w:val="22"/>
                    </w:rPr>
                  </w:pPr>
                  <w:r w:rsidRPr="00B60624">
                    <w:rPr>
                      <w:rFonts w:asciiTheme="minorHAnsi" w:eastAsiaTheme="minorHAnsi" w:hAnsiTheme="minorHAnsi" w:cs="Arial"/>
                      <w:b/>
                      <w:bCs/>
                      <w:color w:val="000000"/>
                      <w:sz w:val="22"/>
                      <w:szCs w:val="22"/>
                      <w:lang w:val="es-EC"/>
                    </w:rPr>
                    <w:t>Ahorro bruto</w:t>
                  </w:r>
                </w:p>
              </w:tc>
              <w:tc>
                <w:tcPr>
                  <w:tcW w:w="3528" w:type="pct"/>
                  <w:shd w:val="clear" w:color="auto" w:fill="auto"/>
                </w:tcPr>
                <w:p w:rsidR="00C40CC5" w:rsidRPr="0015678B" w:rsidRDefault="00C40CC5" w:rsidP="009D36F2">
                  <w:pPr>
                    <w:autoSpaceDE w:val="0"/>
                    <w:autoSpaceDN w:val="0"/>
                    <w:adjustRightInd w:val="0"/>
                    <w:spacing w:line="276" w:lineRule="auto"/>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El ahorro es el saldo contable tanto para la cu</w:t>
                  </w:r>
                  <w:r>
                    <w:rPr>
                      <w:rFonts w:asciiTheme="minorHAnsi" w:eastAsiaTheme="minorHAnsi" w:hAnsiTheme="minorHAnsi" w:cs="Arial"/>
                      <w:bCs/>
                      <w:color w:val="000000"/>
                      <w:sz w:val="22"/>
                      <w:szCs w:val="22"/>
                    </w:rPr>
                    <w:t xml:space="preserve">enta de utilización del ingreso </w:t>
                  </w:r>
                  <w:r w:rsidRPr="0015678B">
                    <w:rPr>
                      <w:rFonts w:asciiTheme="minorHAnsi" w:eastAsiaTheme="minorHAnsi" w:hAnsiTheme="minorHAnsi" w:cs="Arial"/>
                      <w:bCs/>
                      <w:color w:val="000000"/>
                      <w:sz w:val="22"/>
                      <w:szCs w:val="22"/>
                    </w:rPr>
                    <w:t>disponible como para la cuenta de utilización del ingreso disponible ajustado. Se calcula restando del ingreso disponible -incluyendo la variación de los derechos</w:t>
                  </w:r>
                  <w:r>
                    <w:rPr>
                      <w:rFonts w:asciiTheme="minorHAnsi" w:eastAsiaTheme="minorHAnsi" w:hAnsiTheme="minorHAnsi" w:cs="Arial"/>
                      <w:bCs/>
                      <w:color w:val="000000"/>
                      <w:sz w:val="22"/>
                      <w:szCs w:val="22"/>
                    </w:rPr>
                    <w:t xml:space="preserve"> </w:t>
                  </w:r>
                  <w:r w:rsidRPr="0015678B">
                    <w:rPr>
                      <w:rFonts w:asciiTheme="minorHAnsi" w:eastAsiaTheme="minorHAnsi" w:hAnsiTheme="minorHAnsi" w:cs="Arial"/>
                      <w:bCs/>
                      <w:color w:val="000000"/>
                      <w:sz w:val="22"/>
                      <w:szCs w:val="22"/>
                    </w:rPr>
                    <w:t xml:space="preserve">pensionarios- </w:t>
                  </w:r>
                  <w:r w:rsidRPr="0015678B">
                    <w:rPr>
                      <w:rFonts w:asciiTheme="minorHAnsi" w:eastAsiaTheme="minorHAnsi" w:hAnsiTheme="minorHAnsi" w:cs="Arial"/>
                      <w:bCs/>
                      <w:color w:val="000000"/>
                      <w:sz w:val="22"/>
                      <w:szCs w:val="22"/>
                    </w:rPr>
                    <w:lastRenderedPageBreak/>
                    <w:t xml:space="preserve">menos el gasto de consumo final, o restando del ingreso disponible ajustado – </w:t>
                  </w:r>
                  <w:r>
                    <w:rPr>
                      <w:rFonts w:asciiTheme="minorHAnsi" w:eastAsiaTheme="minorHAnsi" w:hAnsiTheme="minorHAnsi" w:cs="Arial"/>
                      <w:bCs/>
                      <w:color w:val="000000"/>
                      <w:sz w:val="22"/>
                      <w:szCs w:val="22"/>
                    </w:rPr>
                    <w:t xml:space="preserve">incluyendo la </w:t>
                  </w:r>
                  <w:r w:rsidRPr="0015678B">
                    <w:rPr>
                      <w:rFonts w:asciiTheme="minorHAnsi" w:eastAsiaTheme="minorHAnsi" w:hAnsiTheme="minorHAnsi" w:cs="Arial"/>
                      <w:bCs/>
                      <w:color w:val="000000"/>
                      <w:sz w:val="22"/>
                      <w:szCs w:val="22"/>
                    </w:rPr>
                    <w:t xml:space="preserve">variación de los </w:t>
                  </w:r>
                  <w:r>
                    <w:rPr>
                      <w:rFonts w:asciiTheme="minorHAnsi" w:eastAsiaTheme="minorHAnsi" w:hAnsiTheme="minorHAnsi" w:cs="Arial"/>
                      <w:bCs/>
                      <w:color w:val="000000"/>
                      <w:sz w:val="22"/>
                      <w:szCs w:val="22"/>
                    </w:rPr>
                    <w:t xml:space="preserve">derechos pensionarios- menos el </w:t>
                  </w:r>
                  <w:r w:rsidRPr="0015678B">
                    <w:rPr>
                      <w:rFonts w:asciiTheme="minorHAnsi" w:eastAsiaTheme="minorHAnsi" w:hAnsiTheme="minorHAnsi" w:cs="Arial"/>
                      <w:bCs/>
                      <w:color w:val="000000"/>
                      <w:sz w:val="22"/>
                      <w:szCs w:val="22"/>
                    </w:rPr>
                    <w:t>consumo final efectivo.</w:t>
                  </w:r>
                </w:p>
                <w:p w:rsidR="00C40CC5" w:rsidRPr="0015678B" w:rsidRDefault="00C40CC5" w:rsidP="009D36F2">
                  <w:pPr>
                    <w:autoSpaceDE w:val="0"/>
                    <w:autoSpaceDN w:val="0"/>
                    <w:adjustRightInd w:val="0"/>
                    <w:spacing w:line="276" w:lineRule="auto"/>
                    <w:jc w:val="both"/>
                    <w:rPr>
                      <w:rFonts w:eastAsiaTheme="minorHAnsi"/>
                      <w:sz w:val="18"/>
                      <w:szCs w:val="18"/>
                      <w:lang w:val="es-EC"/>
                    </w:rPr>
                  </w:pPr>
                  <w:r>
                    <w:rPr>
                      <w:rFonts w:asciiTheme="minorHAnsi" w:eastAsiaTheme="minorHAnsi" w:hAnsiTheme="minorHAnsi" w:cs="Arial"/>
                      <w:bCs/>
                      <w:color w:val="000000"/>
                      <w:sz w:val="22"/>
                      <w:szCs w:val="22"/>
                    </w:rPr>
                    <w:t>(</w:t>
                  </w:r>
                  <w:r w:rsidRPr="0015678B">
                    <w:rPr>
                      <w:rFonts w:asciiTheme="minorHAnsi" w:eastAsiaTheme="minorHAnsi" w:hAnsiTheme="minorHAnsi" w:cs="Arial"/>
                      <w:bCs/>
                      <w:color w:val="000000"/>
                      <w:sz w:val="22"/>
                      <w:szCs w:val="22"/>
                    </w:rPr>
                    <w:t>SCN</w:t>
                  </w:r>
                  <w:r>
                    <w:rPr>
                      <w:rFonts w:asciiTheme="minorHAnsi" w:eastAsiaTheme="minorHAnsi" w:hAnsiTheme="minorHAnsi" w:cs="Arial"/>
                      <w:bCs/>
                      <w:color w:val="000000"/>
                      <w:sz w:val="22"/>
                      <w:szCs w:val="22"/>
                    </w:rPr>
                    <w:t xml:space="preserve"> 2008, 9.9)</w:t>
                  </w:r>
                </w:p>
              </w:tc>
            </w:tr>
            <w:tr w:rsidR="00C40CC5" w:rsidRPr="00B60624" w:rsidTr="009D36F2">
              <w:trPr>
                <w:trHeight w:val="156"/>
              </w:trPr>
              <w:tc>
                <w:tcPr>
                  <w:tcW w:w="500" w:type="pct"/>
                </w:tcPr>
                <w:p w:rsidR="00C40CC5" w:rsidRPr="00B60624" w:rsidRDefault="00C40CC5" w:rsidP="009D36F2">
                  <w:pPr>
                    <w:spacing w:before="120" w:after="120"/>
                    <w:rPr>
                      <w:rFonts w:asciiTheme="minorHAnsi" w:hAnsiTheme="minorHAnsi"/>
                      <w:szCs w:val="22"/>
                    </w:rPr>
                  </w:pPr>
                  <w:r w:rsidRPr="00B60624">
                    <w:rPr>
                      <w:rFonts w:asciiTheme="minorHAnsi" w:eastAsiaTheme="minorHAnsi" w:hAnsiTheme="minorHAnsi" w:cs="Arial"/>
                      <w:b/>
                      <w:bCs/>
                      <w:color w:val="000000"/>
                      <w:sz w:val="22"/>
                      <w:szCs w:val="22"/>
                      <w:lang w:val="es-EC"/>
                    </w:rPr>
                    <w:lastRenderedPageBreak/>
                    <w:t xml:space="preserve">B.8n </w:t>
                  </w:r>
                </w:p>
              </w:tc>
              <w:tc>
                <w:tcPr>
                  <w:tcW w:w="972" w:type="pct"/>
                </w:tcPr>
                <w:p w:rsidR="00C40CC5" w:rsidRPr="00B60624" w:rsidRDefault="00C40CC5" w:rsidP="009D36F2">
                  <w:pPr>
                    <w:spacing w:before="120" w:after="120"/>
                    <w:rPr>
                      <w:rFonts w:asciiTheme="minorHAnsi" w:hAnsiTheme="minorHAnsi"/>
                      <w:szCs w:val="22"/>
                    </w:rPr>
                  </w:pPr>
                  <w:r w:rsidRPr="00B60624">
                    <w:rPr>
                      <w:rFonts w:asciiTheme="minorHAnsi" w:eastAsiaTheme="minorHAnsi" w:hAnsiTheme="minorHAnsi" w:cs="Arial"/>
                      <w:b/>
                      <w:bCs/>
                      <w:color w:val="000000"/>
                      <w:sz w:val="22"/>
                      <w:szCs w:val="22"/>
                      <w:lang w:val="es-EC"/>
                    </w:rPr>
                    <w:t>Ahorro neto</w:t>
                  </w:r>
                </w:p>
              </w:tc>
              <w:tc>
                <w:tcPr>
                  <w:tcW w:w="3528" w:type="pct"/>
                  <w:shd w:val="clear" w:color="auto" w:fill="auto"/>
                </w:tcPr>
                <w:p w:rsidR="00C40CC5" w:rsidRPr="0015678B" w:rsidRDefault="00C40CC5" w:rsidP="009D36F2">
                  <w:pPr>
                    <w:autoSpaceDE w:val="0"/>
                    <w:autoSpaceDN w:val="0"/>
                    <w:adjustRightInd w:val="0"/>
                    <w:spacing w:before="24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 xml:space="preserve">El ahorro es el saldo contable en las dos cuentas de utilización del ingreso. Su valor es el mismo tanto si se obtiene restando los gastos de consumo final del ingreso disponible, como si se obtiene restando el consumo final efectivo del ingreso disponible ajustado (en ambos casos, después de hacer el ajuste por la variación de los derechos de pensión </w:t>
                  </w:r>
                  <w:proofErr w:type="gramStart"/>
                  <w:r w:rsidRPr="0015678B">
                    <w:rPr>
                      <w:rFonts w:asciiTheme="minorHAnsi" w:eastAsiaTheme="minorHAnsi" w:hAnsiTheme="minorHAnsi" w:cs="Arial"/>
                      <w:bCs/>
                      <w:color w:val="000000"/>
                      <w:sz w:val="22"/>
                      <w:szCs w:val="22"/>
                    </w:rPr>
                    <w:t>descrito</w:t>
                  </w:r>
                  <w:proofErr w:type="gramEnd"/>
                  <w:r w:rsidRPr="0015678B">
                    <w:rPr>
                      <w:rFonts w:asciiTheme="minorHAnsi" w:eastAsiaTheme="minorHAnsi" w:hAnsiTheme="minorHAnsi" w:cs="Arial"/>
                      <w:bCs/>
                      <w:color w:val="000000"/>
                      <w:sz w:val="22"/>
                      <w:szCs w:val="22"/>
                    </w:rPr>
                    <w:t xml:space="preserve"> anteriormente).</w:t>
                  </w:r>
                </w:p>
                <w:p w:rsidR="00C40CC5" w:rsidRPr="0015678B" w:rsidRDefault="00C40CC5" w:rsidP="009D36F2">
                  <w:pPr>
                    <w:autoSpaceDE w:val="0"/>
                    <w:autoSpaceDN w:val="0"/>
                    <w:adjustRightInd w:val="0"/>
                    <w:spacing w:before="24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 xml:space="preserve">El ahorro representa </w:t>
                  </w:r>
                  <w:r>
                    <w:rPr>
                      <w:rFonts w:asciiTheme="minorHAnsi" w:eastAsiaTheme="minorHAnsi" w:hAnsiTheme="minorHAnsi" w:cs="Arial"/>
                      <w:bCs/>
                      <w:color w:val="000000"/>
                      <w:sz w:val="22"/>
                      <w:szCs w:val="22"/>
                    </w:rPr>
                    <w:t xml:space="preserve">la parte del ingreso disponible </w:t>
                  </w:r>
                  <w:r w:rsidRPr="0015678B">
                    <w:rPr>
                      <w:rFonts w:asciiTheme="minorHAnsi" w:eastAsiaTheme="minorHAnsi" w:hAnsiTheme="minorHAnsi" w:cs="Arial"/>
                      <w:bCs/>
                      <w:color w:val="000000"/>
                      <w:sz w:val="22"/>
                      <w:szCs w:val="22"/>
                    </w:rPr>
                    <w:t>(ajustado por la variac</w:t>
                  </w:r>
                  <w:r>
                    <w:rPr>
                      <w:rFonts w:asciiTheme="minorHAnsi" w:eastAsiaTheme="minorHAnsi" w:hAnsiTheme="minorHAnsi" w:cs="Arial"/>
                      <w:bCs/>
                      <w:color w:val="000000"/>
                      <w:sz w:val="22"/>
                      <w:szCs w:val="22"/>
                    </w:rPr>
                    <w:t xml:space="preserve">ión en los derechos de pensión) </w:t>
                  </w:r>
                  <w:r w:rsidRPr="0015678B">
                    <w:rPr>
                      <w:rFonts w:asciiTheme="minorHAnsi" w:eastAsiaTheme="minorHAnsi" w:hAnsiTheme="minorHAnsi" w:cs="Arial"/>
                      <w:bCs/>
                      <w:color w:val="000000"/>
                      <w:sz w:val="22"/>
                      <w:szCs w:val="22"/>
                    </w:rPr>
                    <w:t>que no se gasta en bienes y servicios de consumo final.</w:t>
                  </w:r>
                </w:p>
                <w:p w:rsidR="00C40CC5" w:rsidRDefault="00C40CC5" w:rsidP="009D36F2">
                  <w:pPr>
                    <w:autoSpaceDE w:val="0"/>
                    <w:autoSpaceDN w:val="0"/>
                    <w:adjustRightInd w:val="0"/>
                    <w:spacing w:before="24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Puede ser positivo o</w:t>
                  </w:r>
                  <w:r>
                    <w:rPr>
                      <w:rFonts w:asciiTheme="minorHAnsi" w:eastAsiaTheme="minorHAnsi" w:hAnsiTheme="minorHAnsi" w:cs="Arial"/>
                      <w:bCs/>
                      <w:color w:val="000000"/>
                      <w:sz w:val="22"/>
                      <w:szCs w:val="22"/>
                    </w:rPr>
                    <w:t xml:space="preserve"> negativo, según que el ingreso </w:t>
                  </w:r>
                  <w:r w:rsidRPr="0015678B">
                    <w:rPr>
                      <w:rFonts w:asciiTheme="minorHAnsi" w:eastAsiaTheme="minorHAnsi" w:hAnsiTheme="minorHAnsi" w:cs="Arial"/>
                      <w:bCs/>
                      <w:color w:val="000000"/>
                      <w:sz w:val="22"/>
                      <w:szCs w:val="22"/>
                    </w:rPr>
                    <w:t>disponible supere a</w:t>
                  </w:r>
                  <w:r>
                    <w:rPr>
                      <w:rFonts w:asciiTheme="minorHAnsi" w:eastAsiaTheme="minorHAnsi" w:hAnsiTheme="minorHAnsi" w:cs="Arial"/>
                      <w:bCs/>
                      <w:color w:val="000000"/>
                      <w:sz w:val="22"/>
                      <w:szCs w:val="22"/>
                    </w:rPr>
                    <w:t xml:space="preserve"> los gastos de consumo final, o </w:t>
                  </w:r>
                  <w:r w:rsidRPr="0015678B">
                    <w:rPr>
                      <w:rFonts w:asciiTheme="minorHAnsi" w:eastAsiaTheme="minorHAnsi" w:hAnsiTheme="minorHAnsi" w:cs="Arial"/>
                      <w:bCs/>
                      <w:color w:val="000000"/>
                      <w:sz w:val="22"/>
                      <w:szCs w:val="22"/>
                    </w:rPr>
                    <w:t xml:space="preserve">viceversa.  </w:t>
                  </w:r>
                </w:p>
                <w:p w:rsidR="00C40CC5" w:rsidRPr="0015678B" w:rsidRDefault="00C40CC5" w:rsidP="009D36F2">
                  <w:pPr>
                    <w:autoSpaceDE w:val="0"/>
                    <w:autoSpaceDN w:val="0"/>
                    <w:adjustRightInd w:val="0"/>
                    <w:spacing w:before="240"/>
                    <w:jc w:val="both"/>
                    <w:rPr>
                      <w:rFonts w:asciiTheme="minorHAnsi" w:eastAsiaTheme="minorHAnsi" w:hAnsiTheme="minorHAnsi" w:cs="Arial"/>
                      <w:bCs/>
                      <w:color w:val="000000"/>
                      <w:szCs w:val="22"/>
                    </w:rPr>
                  </w:pPr>
                  <w:r w:rsidRPr="00636005">
                    <w:rPr>
                      <w:rFonts w:asciiTheme="minorHAnsi" w:eastAsiaTheme="minorHAnsi" w:hAnsiTheme="minorHAnsi" w:cs="Arial"/>
                      <w:bCs/>
                      <w:color w:val="000000"/>
                      <w:sz w:val="22"/>
                      <w:szCs w:val="22"/>
                    </w:rPr>
                    <w:t>(</w:t>
                  </w:r>
                  <w:r w:rsidRPr="00C16AFB">
                    <w:rPr>
                      <w:rFonts w:asciiTheme="minorHAnsi" w:eastAsiaTheme="minorHAnsi" w:hAnsiTheme="minorHAnsi" w:cs="Arial"/>
                      <w:bCs/>
                      <w:color w:val="000000"/>
                      <w:sz w:val="22"/>
                      <w:szCs w:val="22"/>
                    </w:rPr>
                    <w:t>SCN 2008, 9.26 - 9.27 - 9.28)</w:t>
                  </w:r>
                </w:p>
              </w:tc>
            </w:tr>
          </w:tbl>
          <w:p w:rsidR="00C40CC5" w:rsidRPr="00410A0A" w:rsidRDefault="00C40CC5" w:rsidP="009D36F2">
            <w:pPr>
              <w:jc w:val="both"/>
              <w:rPr>
                <w:rFonts w:asciiTheme="minorHAnsi" w:hAnsiTheme="minorHAnsi" w:cs="Arial"/>
                <w:szCs w:val="22"/>
              </w:rPr>
            </w:pPr>
          </w:p>
        </w:tc>
      </w:tr>
    </w:tbl>
    <w:p w:rsidR="00C40CC5" w:rsidRDefault="00C40CC5"/>
    <w:tbl>
      <w:tblPr>
        <w:tblStyle w:val="Tablaconcuadrcula"/>
        <w:tblW w:w="0" w:type="auto"/>
        <w:jc w:val="center"/>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ayout w:type="fixed"/>
        <w:tblLook w:val="04A0" w:firstRow="1" w:lastRow="0" w:firstColumn="1" w:lastColumn="0" w:noHBand="0" w:noVBand="1"/>
      </w:tblPr>
      <w:tblGrid>
        <w:gridCol w:w="9054"/>
      </w:tblGrid>
      <w:tr w:rsidR="00C40CC5" w:rsidRPr="00410A0A" w:rsidTr="009D36F2">
        <w:trPr>
          <w:jc w:val="center"/>
        </w:trPr>
        <w:tc>
          <w:tcPr>
            <w:tcW w:w="9054" w:type="dxa"/>
            <w:vAlign w:val="center"/>
          </w:tcPr>
          <w:p w:rsidR="00C40CC5" w:rsidRDefault="00C40CC5" w:rsidP="009D36F2">
            <w:pPr>
              <w:jc w:val="both"/>
              <w:rPr>
                <w:rFonts w:asciiTheme="minorHAnsi" w:hAnsiTheme="minorHAnsi" w:cs="Arial"/>
                <w:szCs w:val="22"/>
              </w:rPr>
            </w:pPr>
          </w:p>
          <w:p w:rsidR="000A3871" w:rsidRPr="000A3871" w:rsidRDefault="000A3871" w:rsidP="009D36F2">
            <w:pPr>
              <w:jc w:val="both"/>
              <w:rPr>
                <w:rFonts w:asciiTheme="minorHAnsi" w:hAnsiTheme="minorHAnsi" w:cs="Arial"/>
                <w:b/>
                <w:sz w:val="26"/>
                <w:szCs w:val="26"/>
              </w:rPr>
            </w:pPr>
            <w:r w:rsidRPr="000A3871">
              <w:rPr>
                <w:rFonts w:asciiTheme="minorHAnsi" w:hAnsiTheme="minorHAnsi" w:cs="Arial"/>
                <w:b/>
                <w:sz w:val="26"/>
                <w:szCs w:val="26"/>
              </w:rPr>
              <w:t>Cuenta de Capital</w:t>
            </w:r>
            <w:bookmarkStart w:id="0" w:name="_GoBack"/>
            <w:bookmarkEnd w:id="0"/>
          </w:p>
          <w:p w:rsidR="000A3871" w:rsidRPr="00410A0A" w:rsidRDefault="000A3871" w:rsidP="009D36F2">
            <w:pPr>
              <w:jc w:val="both"/>
              <w:rPr>
                <w:rFonts w:asciiTheme="minorHAnsi" w:hAnsiTheme="minorHAnsi"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
              <w:gridCol w:w="1716"/>
              <w:gridCol w:w="6229"/>
            </w:tblGrid>
            <w:tr w:rsidR="00C40CC5" w:rsidRPr="0025612F" w:rsidTr="009D36F2">
              <w:trPr>
                <w:trHeight w:hRule="exact" w:val="1050"/>
                <w:tblHeader/>
              </w:trPr>
              <w:tc>
                <w:tcPr>
                  <w:tcW w:w="500" w:type="pct"/>
                  <w:shd w:val="clear" w:color="auto" w:fill="DBE5F1" w:themeFill="accent1" w:themeFillTint="33"/>
                  <w:vAlign w:val="center"/>
                </w:tcPr>
                <w:p w:rsidR="00C40CC5" w:rsidRPr="0025612F" w:rsidRDefault="00C40CC5" w:rsidP="009D36F2">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t>Código SCN 2008</w:t>
                  </w:r>
                </w:p>
              </w:tc>
              <w:tc>
                <w:tcPr>
                  <w:tcW w:w="972" w:type="pct"/>
                  <w:shd w:val="clear" w:color="auto" w:fill="DBE5F1" w:themeFill="accent1" w:themeFillTint="33"/>
                  <w:vAlign w:val="center"/>
                </w:tcPr>
                <w:p w:rsidR="00C40CC5" w:rsidRPr="0025612F" w:rsidRDefault="00C40CC5" w:rsidP="009D36F2">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t>Transacción</w:t>
                  </w:r>
                </w:p>
              </w:tc>
              <w:tc>
                <w:tcPr>
                  <w:tcW w:w="3528" w:type="pct"/>
                  <w:shd w:val="clear" w:color="auto" w:fill="DBE5F1" w:themeFill="accent1" w:themeFillTint="33"/>
                  <w:vAlign w:val="center"/>
                </w:tcPr>
                <w:p w:rsidR="00C40CC5" w:rsidRPr="0025612F" w:rsidRDefault="00C40CC5" w:rsidP="009D36F2">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t>Descripción</w:t>
                  </w:r>
                </w:p>
              </w:tc>
            </w:tr>
            <w:tr w:rsidR="00C40CC5" w:rsidRPr="0025612F" w:rsidTr="009D36F2">
              <w:trPr>
                <w:trHeight w:val="156"/>
              </w:trPr>
              <w:tc>
                <w:tcPr>
                  <w:tcW w:w="500" w:type="pct"/>
                </w:tcPr>
                <w:p w:rsidR="00C40CC5" w:rsidRPr="0025612F" w:rsidRDefault="00C40CC5" w:rsidP="009D36F2">
                  <w:pPr>
                    <w:spacing w:before="120" w:after="120"/>
                    <w:rPr>
                      <w:rFonts w:asciiTheme="minorHAnsi" w:hAnsiTheme="minorHAnsi" w:cs="Calibri"/>
                      <w:b/>
                      <w:bCs/>
                      <w:szCs w:val="22"/>
                    </w:rPr>
                  </w:pPr>
                  <w:r w:rsidRPr="0025612F">
                    <w:rPr>
                      <w:rFonts w:asciiTheme="minorHAnsi" w:hAnsiTheme="minorHAnsi" w:cs="Calibri"/>
                      <w:b/>
                      <w:bCs/>
                      <w:sz w:val="22"/>
                      <w:szCs w:val="22"/>
                    </w:rPr>
                    <w:t xml:space="preserve">B.8n </w:t>
                  </w:r>
                </w:p>
              </w:tc>
              <w:tc>
                <w:tcPr>
                  <w:tcW w:w="972" w:type="pct"/>
                </w:tcPr>
                <w:p w:rsidR="00C40CC5" w:rsidRPr="0025612F" w:rsidRDefault="00C40CC5" w:rsidP="009D36F2">
                  <w:pPr>
                    <w:spacing w:before="120" w:after="120"/>
                    <w:rPr>
                      <w:rFonts w:asciiTheme="minorHAnsi" w:hAnsiTheme="minorHAnsi" w:cs="Calibri"/>
                      <w:b/>
                      <w:bCs/>
                      <w:szCs w:val="22"/>
                    </w:rPr>
                  </w:pPr>
                  <w:r w:rsidRPr="0025612F">
                    <w:rPr>
                      <w:rFonts w:asciiTheme="minorHAnsi" w:hAnsiTheme="minorHAnsi" w:cs="Calibri"/>
                      <w:b/>
                      <w:bCs/>
                      <w:sz w:val="22"/>
                      <w:szCs w:val="22"/>
                    </w:rPr>
                    <w:t xml:space="preserve">Ahorro neto </w:t>
                  </w:r>
                </w:p>
              </w:tc>
              <w:tc>
                <w:tcPr>
                  <w:tcW w:w="3528" w:type="pct"/>
                  <w:shd w:val="clear" w:color="auto" w:fill="FFFFFF" w:themeFill="background1"/>
                </w:tcPr>
                <w:p w:rsidR="00C40CC5" w:rsidRPr="0015678B" w:rsidRDefault="00C40CC5" w:rsidP="009D36F2">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El ahorro es el saldo contable en las dos cuentas de utilización del ingreso. Su valor es el mismo tanto si se obtiene restando los gastos de consumo final del ingreso disponible, como si se obtiene restando el consumo final efectivo del ingreso disponible ajustado (en ambos casos, después de hacer el ajuste por la variación de los derechos de pensión descrita anteriormente).</w:t>
                  </w:r>
                </w:p>
                <w:p w:rsidR="00C40CC5" w:rsidRPr="0015678B" w:rsidRDefault="00C40CC5" w:rsidP="009D36F2">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 xml:space="preserve">El ahorro representa </w:t>
                  </w:r>
                  <w:r>
                    <w:rPr>
                      <w:rFonts w:asciiTheme="minorHAnsi" w:eastAsiaTheme="minorHAnsi" w:hAnsiTheme="minorHAnsi" w:cs="Arial"/>
                      <w:bCs/>
                      <w:color w:val="000000"/>
                      <w:sz w:val="22"/>
                      <w:szCs w:val="22"/>
                    </w:rPr>
                    <w:t xml:space="preserve">la parte del ingreso disponible </w:t>
                  </w:r>
                  <w:r w:rsidRPr="0015678B">
                    <w:rPr>
                      <w:rFonts w:asciiTheme="minorHAnsi" w:eastAsiaTheme="minorHAnsi" w:hAnsiTheme="minorHAnsi" w:cs="Arial"/>
                      <w:bCs/>
                      <w:color w:val="000000"/>
                      <w:sz w:val="22"/>
                      <w:szCs w:val="22"/>
                    </w:rPr>
                    <w:t>(ajustado por la variac</w:t>
                  </w:r>
                  <w:r>
                    <w:rPr>
                      <w:rFonts w:asciiTheme="minorHAnsi" w:eastAsiaTheme="minorHAnsi" w:hAnsiTheme="minorHAnsi" w:cs="Arial"/>
                      <w:bCs/>
                      <w:color w:val="000000"/>
                      <w:sz w:val="22"/>
                      <w:szCs w:val="22"/>
                    </w:rPr>
                    <w:t xml:space="preserve">ión en los derechos de pensión) </w:t>
                  </w:r>
                  <w:r w:rsidRPr="0015678B">
                    <w:rPr>
                      <w:rFonts w:asciiTheme="minorHAnsi" w:eastAsiaTheme="minorHAnsi" w:hAnsiTheme="minorHAnsi" w:cs="Arial"/>
                      <w:bCs/>
                      <w:color w:val="000000"/>
                      <w:sz w:val="22"/>
                      <w:szCs w:val="22"/>
                    </w:rPr>
                    <w:t>que no se gasta en bienes y servicios de consumo final.</w:t>
                  </w:r>
                </w:p>
                <w:p w:rsidR="00C40CC5" w:rsidRDefault="00C40CC5" w:rsidP="009D36F2">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Puede ser positivo o</w:t>
                  </w:r>
                  <w:r>
                    <w:rPr>
                      <w:rFonts w:asciiTheme="minorHAnsi" w:eastAsiaTheme="minorHAnsi" w:hAnsiTheme="minorHAnsi" w:cs="Arial"/>
                      <w:bCs/>
                      <w:color w:val="000000"/>
                      <w:sz w:val="22"/>
                      <w:szCs w:val="22"/>
                    </w:rPr>
                    <w:t xml:space="preserve"> negativo, según que el ingreso </w:t>
                  </w:r>
                  <w:r w:rsidRPr="0015678B">
                    <w:rPr>
                      <w:rFonts w:asciiTheme="minorHAnsi" w:eastAsiaTheme="minorHAnsi" w:hAnsiTheme="minorHAnsi" w:cs="Arial"/>
                      <w:bCs/>
                      <w:color w:val="000000"/>
                      <w:sz w:val="22"/>
                      <w:szCs w:val="22"/>
                    </w:rPr>
                    <w:t>disponible supere a</w:t>
                  </w:r>
                  <w:r>
                    <w:rPr>
                      <w:rFonts w:asciiTheme="minorHAnsi" w:eastAsiaTheme="minorHAnsi" w:hAnsiTheme="minorHAnsi" w:cs="Arial"/>
                      <w:bCs/>
                      <w:color w:val="000000"/>
                      <w:sz w:val="22"/>
                      <w:szCs w:val="22"/>
                    </w:rPr>
                    <w:t xml:space="preserve"> los gastos de consumo final, o </w:t>
                  </w:r>
                  <w:r w:rsidRPr="0015678B">
                    <w:rPr>
                      <w:rFonts w:asciiTheme="minorHAnsi" w:eastAsiaTheme="minorHAnsi" w:hAnsiTheme="minorHAnsi" w:cs="Arial"/>
                      <w:bCs/>
                      <w:color w:val="000000"/>
                      <w:sz w:val="22"/>
                      <w:szCs w:val="22"/>
                    </w:rPr>
                    <w:t xml:space="preserve">viceversa.  </w:t>
                  </w:r>
                </w:p>
                <w:p w:rsidR="00C40CC5" w:rsidRPr="0025612F" w:rsidRDefault="00C40CC5" w:rsidP="009D36F2">
                  <w:pPr>
                    <w:shd w:val="clear" w:color="auto" w:fill="FFFFFF" w:themeFill="background1"/>
                    <w:spacing w:before="120" w:after="120"/>
                    <w:rPr>
                      <w:rFonts w:asciiTheme="minorHAnsi" w:hAnsiTheme="minorHAnsi"/>
                      <w:szCs w:val="22"/>
                    </w:rPr>
                  </w:pPr>
                  <w:r w:rsidRPr="00636005">
                    <w:rPr>
                      <w:rFonts w:asciiTheme="minorHAnsi" w:eastAsiaTheme="minorHAnsi" w:hAnsiTheme="minorHAnsi" w:cs="Arial"/>
                      <w:bCs/>
                      <w:color w:val="000000"/>
                      <w:sz w:val="22"/>
                      <w:szCs w:val="22"/>
                    </w:rPr>
                    <w:t>(</w:t>
                  </w:r>
                  <w:r w:rsidRPr="00C16AFB">
                    <w:rPr>
                      <w:rFonts w:asciiTheme="minorHAnsi" w:eastAsiaTheme="minorHAnsi" w:hAnsiTheme="minorHAnsi" w:cs="Arial"/>
                      <w:bCs/>
                      <w:color w:val="000000"/>
                      <w:sz w:val="22"/>
                      <w:szCs w:val="22"/>
                    </w:rPr>
                    <w:t>SCN 2008, 9.26 - 9.27 - 9.28)</w:t>
                  </w:r>
                </w:p>
              </w:tc>
            </w:tr>
            <w:tr w:rsidR="00C40CC5" w:rsidRPr="0025612F" w:rsidTr="009D36F2">
              <w:trPr>
                <w:trHeight w:val="156"/>
              </w:trPr>
              <w:tc>
                <w:tcPr>
                  <w:tcW w:w="500" w:type="pct"/>
                </w:tcPr>
                <w:p w:rsidR="00C40CC5" w:rsidRPr="0025612F" w:rsidRDefault="00C40CC5" w:rsidP="009D36F2">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 xml:space="preserve">D.9r </w:t>
                  </w:r>
                </w:p>
              </w:tc>
              <w:tc>
                <w:tcPr>
                  <w:tcW w:w="972" w:type="pct"/>
                </w:tcPr>
                <w:p w:rsidR="00C40CC5" w:rsidRPr="0025612F" w:rsidRDefault="00C40CC5" w:rsidP="009D36F2">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Transferencias de capital recibidas</w:t>
                  </w:r>
                </w:p>
              </w:tc>
              <w:tc>
                <w:tcPr>
                  <w:tcW w:w="3528" w:type="pct"/>
                  <w:shd w:val="clear" w:color="auto" w:fill="FFFFFF" w:themeFill="background1"/>
                </w:tcPr>
                <w:p w:rsidR="00C40CC5" w:rsidRDefault="00C40CC5" w:rsidP="009D36F2">
                  <w:pPr>
                    <w:spacing w:before="120" w:after="120"/>
                    <w:jc w:val="both"/>
                    <w:rPr>
                      <w:rFonts w:asciiTheme="minorHAnsi" w:hAnsiTheme="minorHAnsi"/>
                      <w:szCs w:val="22"/>
                    </w:rPr>
                  </w:pPr>
                  <w:r w:rsidRPr="00D076DC">
                    <w:rPr>
                      <w:rFonts w:asciiTheme="minorHAnsi" w:hAnsiTheme="minorHAnsi"/>
                      <w:sz w:val="22"/>
                      <w:szCs w:val="22"/>
                    </w:rPr>
                    <w:t>Una transferencia en especie implica necesariamente el cambio de propiedad de un producto previamente registrado como activo no financiero en las cuentas del donante.</w:t>
                  </w:r>
                  <w:r>
                    <w:rPr>
                      <w:rFonts w:asciiTheme="minorHAnsi" w:hAnsiTheme="minorHAnsi"/>
                      <w:sz w:val="22"/>
                      <w:szCs w:val="22"/>
                    </w:rPr>
                    <w:t xml:space="preserve"> (SCN 2008, 10.204)</w:t>
                  </w:r>
                </w:p>
                <w:p w:rsidR="00C40CC5" w:rsidRPr="0025612F" w:rsidRDefault="00C40CC5" w:rsidP="009D36F2">
                  <w:pPr>
                    <w:spacing w:before="120" w:after="120"/>
                    <w:jc w:val="both"/>
                    <w:rPr>
                      <w:rFonts w:asciiTheme="minorHAnsi" w:hAnsiTheme="minorHAnsi"/>
                      <w:szCs w:val="22"/>
                    </w:rPr>
                  </w:pPr>
                  <w:r>
                    <w:rPr>
                      <w:rFonts w:asciiTheme="minorHAnsi" w:hAnsiTheme="minorHAnsi"/>
                      <w:sz w:val="22"/>
                      <w:szCs w:val="22"/>
                    </w:rPr>
                    <w:lastRenderedPageBreak/>
                    <w:t>(…) l</w:t>
                  </w:r>
                  <w:r w:rsidRPr="009822CB">
                    <w:rPr>
                      <w:rFonts w:asciiTheme="minorHAnsi" w:hAnsiTheme="minorHAnsi"/>
                      <w:sz w:val="22"/>
                      <w:szCs w:val="22"/>
                    </w:rPr>
                    <w:t>as transferencias de capital por cobrar y por pagar se cancelan entre sí en la misma forma en que lo hacen las rentas de la propiedad y las transferencias corrientes</w:t>
                  </w:r>
                  <w:r>
                    <w:rPr>
                      <w:rFonts w:asciiTheme="minorHAnsi" w:hAnsiTheme="minorHAnsi"/>
                      <w:sz w:val="22"/>
                      <w:szCs w:val="22"/>
                    </w:rPr>
                    <w:t>(…) (SCN 2008, 16.18)</w:t>
                  </w:r>
                  <w:r w:rsidRPr="009822CB">
                    <w:rPr>
                      <w:rFonts w:asciiTheme="minorHAnsi" w:hAnsiTheme="minorHAnsi"/>
                      <w:sz w:val="22"/>
                      <w:szCs w:val="22"/>
                    </w:rPr>
                    <w:t xml:space="preserve"> </w:t>
                  </w:r>
                </w:p>
              </w:tc>
            </w:tr>
            <w:tr w:rsidR="00C40CC5" w:rsidRPr="0025612F" w:rsidTr="009D36F2">
              <w:trPr>
                <w:trHeight w:val="156"/>
              </w:trPr>
              <w:tc>
                <w:tcPr>
                  <w:tcW w:w="500" w:type="pct"/>
                </w:tcPr>
                <w:p w:rsidR="00C40CC5" w:rsidRPr="0025612F" w:rsidRDefault="00C40CC5" w:rsidP="009D36F2">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lastRenderedPageBreak/>
                    <w:t xml:space="preserve">D.9p </w:t>
                  </w:r>
                </w:p>
              </w:tc>
              <w:tc>
                <w:tcPr>
                  <w:tcW w:w="972" w:type="pct"/>
                </w:tcPr>
                <w:p w:rsidR="00C40CC5" w:rsidRPr="0025612F" w:rsidRDefault="00C40CC5" w:rsidP="009D36F2">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Transferencias de capital pagadas (-)</w:t>
                  </w:r>
                </w:p>
              </w:tc>
              <w:tc>
                <w:tcPr>
                  <w:tcW w:w="3528" w:type="pct"/>
                  <w:shd w:val="clear" w:color="auto" w:fill="FFFFFF" w:themeFill="background1"/>
                </w:tcPr>
                <w:p w:rsidR="00C40CC5" w:rsidRDefault="00C40CC5" w:rsidP="009D36F2">
                  <w:pPr>
                    <w:spacing w:before="120" w:after="120"/>
                    <w:jc w:val="both"/>
                    <w:rPr>
                      <w:rFonts w:asciiTheme="minorHAnsi" w:hAnsiTheme="minorHAnsi"/>
                      <w:szCs w:val="22"/>
                    </w:rPr>
                  </w:pPr>
                  <w:r w:rsidRPr="00D076DC">
                    <w:rPr>
                      <w:rFonts w:asciiTheme="minorHAnsi" w:hAnsiTheme="minorHAnsi"/>
                      <w:sz w:val="22"/>
                      <w:szCs w:val="22"/>
                    </w:rPr>
                    <w:t>Una transferencia en especie implica necesariamente el cambio de propiedad de un producto previamente registrado como activo no financiero en las cuentas del donante.</w:t>
                  </w:r>
                  <w:r>
                    <w:rPr>
                      <w:rFonts w:asciiTheme="minorHAnsi" w:hAnsiTheme="minorHAnsi"/>
                      <w:sz w:val="22"/>
                      <w:szCs w:val="22"/>
                    </w:rPr>
                    <w:t xml:space="preserve"> (SCN 2008, 10.204)</w:t>
                  </w:r>
                </w:p>
                <w:p w:rsidR="00C40CC5" w:rsidRPr="0025612F" w:rsidRDefault="00C40CC5" w:rsidP="009D36F2">
                  <w:pPr>
                    <w:spacing w:before="120" w:after="120"/>
                    <w:jc w:val="both"/>
                    <w:rPr>
                      <w:rFonts w:asciiTheme="minorHAnsi" w:hAnsiTheme="minorHAnsi"/>
                      <w:szCs w:val="22"/>
                    </w:rPr>
                  </w:pPr>
                  <w:r>
                    <w:rPr>
                      <w:rFonts w:asciiTheme="minorHAnsi" w:hAnsiTheme="minorHAnsi"/>
                      <w:sz w:val="22"/>
                      <w:szCs w:val="22"/>
                    </w:rPr>
                    <w:t>(…) l</w:t>
                  </w:r>
                  <w:r w:rsidRPr="009822CB">
                    <w:rPr>
                      <w:rFonts w:asciiTheme="minorHAnsi" w:hAnsiTheme="minorHAnsi"/>
                      <w:sz w:val="22"/>
                      <w:szCs w:val="22"/>
                    </w:rPr>
                    <w:t>as transferencias de capital por cobrar y por pagar se cancelan entre sí en la misma forma en que lo hacen las rentas de la propiedad y las transferencias corrientes</w:t>
                  </w:r>
                  <w:r>
                    <w:rPr>
                      <w:rFonts w:asciiTheme="minorHAnsi" w:hAnsiTheme="minorHAnsi"/>
                      <w:sz w:val="22"/>
                      <w:szCs w:val="22"/>
                    </w:rPr>
                    <w:t>(…) (SCN 2008, 16.18)</w:t>
                  </w:r>
                </w:p>
              </w:tc>
            </w:tr>
            <w:tr w:rsidR="00C40CC5" w:rsidRPr="0025612F" w:rsidTr="009D36F2">
              <w:trPr>
                <w:trHeight w:val="156"/>
              </w:trPr>
              <w:tc>
                <w:tcPr>
                  <w:tcW w:w="500" w:type="pct"/>
                </w:tcPr>
                <w:p w:rsidR="00C40CC5" w:rsidRPr="0025612F" w:rsidRDefault="00C40CC5" w:rsidP="009D36F2">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P.51b </w:t>
                  </w:r>
                </w:p>
              </w:tc>
              <w:tc>
                <w:tcPr>
                  <w:tcW w:w="972" w:type="pct"/>
                </w:tcPr>
                <w:p w:rsidR="00C40CC5" w:rsidRPr="0025612F" w:rsidRDefault="00C40CC5" w:rsidP="009D36F2">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Formación bruta de capital fijo</w:t>
                  </w:r>
                </w:p>
              </w:tc>
              <w:tc>
                <w:tcPr>
                  <w:tcW w:w="3528" w:type="pct"/>
                  <w:shd w:val="clear" w:color="auto" w:fill="FFFFFF" w:themeFill="background1"/>
                </w:tcPr>
                <w:p w:rsidR="00C40CC5" w:rsidRPr="00983BC7" w:rsidRDefault="00C40CC5" w:rsidP="009D36F2">
                  <w:pPr>
                    <w:spacing w:before="120" w:after="120"/>
                    <w:jc w:val="both"/>
                    <w:rPr>
                      <w:rFonts w:asciiTheme="minorHAnsi" w:hAnsiTheme="minorHAnsi"/>
                      <w:szCs w:val="22"/>
                    </w:rPr>
                  </w:pPr>
                  <w:r w:rsidRPr="00983BC7">
                    <w:rPr>
                      <w:rFonts w:asciiTheme="minorHAnsi" w:hAnsiTheme="minorHAnsi"/>
                      <w:sz w:val="22"/>
                      <w:szCs w:val="22"/>
                    </w:rPr>
                    <w:t>La formación bruta de capital fijo se mide por el valor total de las adquisiciones menos las disposiciones, de activos fijos efectuadas por el productor durante el período contable más ciertos gastos específicos en servicios que incrementan el valor de los activos no producidos.</w:t>
                  </w:r>
                  <w:r>
                    <w:rPr>
                      <w:rFonts w:asciiTheme="minorHAnsi" w:hAnsiTheme="minorHAnsi"/>
                      <w:sz w:val="22"/>
                      <w:szCs w:val="22"/>
                    </w:rPr>
                    <w:t xml:space="preserve"> </w:t>
                  </w:r>
                  <w:r w:rsidRPr="00B103A4">
                    <w:rPr>
                      <w:rFonts w:asciiTheme="minorHAnsi" w:hAnsiTheme="minorHAnsi"/>
                      <w:sz w:val="22"/>
                      <w:szCs w:val="22"/>
                    </w:rPr>
                    <w:t>(SCN 2008, 10.</w:t>
                  </w:r>
                  <w:r>
                    <w:rPr>
                      <w:rFonts w:asciiTheme="minorHAnsi" w:hAnsiTheme="minorHAnsi"/>
                      <w:sz w:val="22"/>
                      <w:szCs w:val="22"/>
                    </w:rPr>
                    <w:t>32</w:t>
                  </w:r>
                  <w:r w:rsidRPr="00B103A4">
                    <w:rPr>
                      <w:rFonts w:asciiTheme="minorHAnsi" w:hAnsiTheme="minorHAnsi"/>
                      <w:sz w:val="22"/>
                      <w:szCs w:val="22"/>
                    </w:rPr>
                    <w:t>)</w:t>
                  </w:r>
                </w:p>
              </w:tc>
            </w:tr>
            <w:tr w:rsidR="00C40CC5" w:rsidRPr="0025612F" w:rsidTr="009D36F2">
              <w:trPr>
                <w:trHeight w:val="156"/>
              </w:trPr>
              <w:tc>
                <w:tcPr>
                  <w:tcW w:w="500" w:type="pct"/>
                </w:tcPr>
                <w:p w:rsidR="00C40CC5" w:rsidRPr="0025612F" w:rsidRDefault="00C40CC5" w:rsidP="009D36F2">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P.51c </w:t>
                  </w:r>
                </w:p>
              </w:tc>
              <w:tc>
                <w:tcPr>
                  <w:tcW w:w="972" w:type="pct"/>
                </w:tcPr>
                <w:p w:rsidR="00C40CC5" w:rsidRPr="0025612F" w:rsidRDefault="00C40CC5" w:rsidP="009D36F2">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Consumo de capital fijo (-)</w:t>
                  </w:r>
                </w:p>
              </w:tc>
              <w:tc>
                <w:tcPr>
                  <w:tcW w:w="3528" w:type="pct"/>
                  <w:shd w:val="clear" w:color="auto" w:fill="FFFFFF" w:themeFill="background1"/>
                </w:tcPr>
                <w:p w:rsidR="00C40CC5" w:rsidRPr="0025612F" w:rsidRDefault="00C40CC5" w:rsidP="009D36F2">
                  <w:pPr>
                    <w:spacing w:before="120" w:after="120"/>
                    <w:jc w:val="both"/>
                    <w:rPr>
                      <w:rFonts w:asciiTheme="minorHAnsi" w:hAnsiTheme="minorHAnsi"/>
                      <w:szCs w:val="22"/>
                    </w:rPr>
                  </w:pPr>
                  <w:r w:rsidRPr="00B103A4">
                    <w:rPr>
                      <w:rFonts w:asciiTheme="minorHAnsi" w:hAnsiTheme="minorHAnsi"/>
                      <w:sz w:val="22"/>
                      <w:szCs w:val="22"/>
                    </w:rPr>
                    <w:t>El consumo de capital fijo es la declinación, durante el período contable, del valor corriente del stock de activos fijos que posee y que utiliza un productor, como consecuencia del deterioro físico, de la obsolescencia normal o de daños accidentales normales. (SCN 2008, 10.25)</w:t>
                  </w:r>
                </w:p>
              </w:tc>
            </w:tr>
            <w:tr w:rsidR="00C40CC5" w:rsidRPr="0025612F" w:rsidTr="009D36F2">
              <w:trPr>
                <w:trHeight w:val="156"/>
              </w:trPr>
              <w:tc>
                <w:tcPr>
                  <w:tcW w:w="500" w:type="pct"/>
                </w:tcPr>
                <w:p w:rsidR="00C40CC5" w:rsidRPr="0025612F" w:rsidRDefault="00C40CC5" w:rsidP="009D36F2">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P.52</w:t>
                  </w:r>
                </w:p>
              </w:tc>
              <w:tc>
                <w:tcPr>
                  <w:tcW w:w="972" w:type="pct"/>
                </w:tcPr>
                <w:p w:rsidR="00C40CC5" w:rsidRPr="0025612F" w:rsidRDefault="00C40CC5" w:rsidP="009D36F2">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Variaciones de existencias</w:t>
                  </w:r>
                </w:p>
              </w:tc>
              <w:tc>
                <w:tcPr>
                  <w:tcW w:w="3528" w:type="pct"/>
                  <w:shd w:val="clear" w:color="auto" w:fill="FFFFFF" w:themeFill="background1"/>
                </w:tcPr>
                <w:p w:rsidR="00C40CC5" w:rsidRPr="0032294E" w:rsidRDefault="00C40CC5" w:rsidP="009D36F2">
                  <w:pPr>
                    <w:spacing w:before="120" w:after="120"/>
                    <w:jc w:val="both"/>
                    <w:rPr>
                      <w:rFonts w:asciiTheme="minorHAnsi" w:hAnsiTheme="minorHAnsi"/>
                      <w:szCs w:val="22"/>
                    </w:rPr>
                  </w:pPr>
                  <w:r w:rsidRPr="0032294E">
                    <w:rPr>
                      <w:rFonts w:asciiTheme="minorHAnsi" w:hAnsiTheme="minorHAnsi"/>
                      <w:sz w:val="22"/>
                      <w:szCs w:val="22"/>
                      <w:lang w:val="es-EC"/>
                    </w:rPr>
                    <w:t xml:space="preserve">Las </w:t>
                  </w:r>
                  <w:r w:rsidRPr="0032294E">
                    <w:rPr>
                      <w:rFonts w:asciiTheme="minorHAnsi" w:hAnsiTheme="minorHAnsi"/>
                      <w:sz w:val="22"/>
                      <w:szCs w:val="22"/>
                    </w:rPr>
                    <w:t>variaciones de existencias, se miden por el valor de las entradas que ingresan en las existencias menos el valor de las salidas y el valor de cualquier pérdida ordinaria de bienes mantenidos en existencias durante el periodo contable.</w:t>
                  </w:r>
                  <w:r>
                    <w:rPr>
                      <w:rFonts w:asciiTheme="minorHAnsi" w:hAnsiTheme="minorHAnsi"/>
                      <w:sz w:val="22"/>
                      <w:szCs w:val="22"/>
                    </w:rPr>
                    <w:t xml:space="preserve"> </w:t>
                  </w:r>
                  <w:r w:rsidRPr="00B103A4">
                    <w:rPr>
                      <w:rFonts w:asciiTheme="minorHAnsi" w:hAnsiTheme="minorHAnsi"/>
                      <w:sz w:val="22"/>
                      <w:szCs w:val="22"/>
                    </w:rPr>
                    <w:t>(SCN 2008, 10.</w:t>
                  </w:r>
                  <w:r>
                    <w:rPr>
                      <w:rFonts w:asciiTheme="minorHAnsi" w:hAnsiTheme="minorHAnsi"/>
                      <w:sz w:val="22"/>
                      <w:szCs w:val="22"/>
                    </w:rPr>
                    <w:t>118</w:t>
                  </w:r>
                  <w:r w:rsidRPr="00B103A4">
                    <w:rPr>
                      <w:rFonts w:asciiTheme="minorHAnsi" w:hAnsiTheme="minorHAnsi"/>
                      <w:sz w:val="22"/>
                      <w:szCs w:val="22"/>
                    </w:rPr>
                    <w:t>)</w:t>
                  </w:r>
                </w:p>
              </w:tc>
            </w:tr>
            <w:tr w:rsidR="00C40CC5" w:rsidRPr="0025612F" w:rsidTr="009D36F2">
              <w:trPr>
                <w:trHeight w:val="156"/>
              </w:trPr>
              <w:tc>
                <w:tcPr>
                  <w:tcW w:w="500" w:type="pct"/>
                </w:tcPr>
                <w:p w:rsidR="00C40CC5" w:rsidRPr="0025612F" w:rsidRDefault="00C40CC5" w:rsidP="009D36F2">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P.53 </w:t>
                  </w:r>
                </w:p>
              </w:tc>
              <w:tc>
                <w:tcPr>
                  <w:tcW w:w="972" w:type="pct"/>
                </w:tcPr>
                <w:p w:rsidR="00C40CC5" w:rsidRPr="0025612F" w:rsidRDefault="00C40CC5" w:rsidP="009D36F2">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Adquisiciones menos disposiciones de objetos valiosos</w:t>
                  </w:r>
                </w:p>
              </w:tc>
              <w:tc>
                <w:tcPr>
                  <w:tcW w:w="3528" w:type="pct"/>
                  <w:shd w:val="clear" w:color="auto" w:fill="FFFFFF" w:themeFill="background1"/>
                </w:tcPr>
                <w:p w:rsidR="00C40CC5" w:rsidRPr="008125A1" w:rsidRDefault="00C40CC5" w:rsidP="009D36F2">
                  <w:pPr>
                    <w:spacing w:before="120" w:after="120"/>
                    <w:jc w:val="both"/>
                    <w:rPr>
                      <w:rFonts w:asciiTheme="minorHAnsi" w:hAnsiTheme="minorHAnsi"/>
                      <w:szCs w:val="22"/>
                      <w:shd w:val="clear" w:color="auto" w:fill="FFFFFF" w:themeFill="background1"/>
                    </w:rPr>
                  </w:pPr>
                  <w:r w:rsidRPr="004045C8">
                    <w:rPr>
                      <w:rFonts w:asciiTheme="minorHAnsi" w:hAnsiTheme="minorHAnsi"/>
                      <w:sz w:val="22"/>
                      <w:szCs w:val="22"/>
                    </w:rPr>
                    <w:t xml:space="preserve">Los </w:t>
                  </w:r>
                  <w:r w:rsidRPr="004045C8">
                    <w:rPr>
                      <w:rFonts w:asciiTheme="minorHAnsi" w:hAnsiTheme="minorHAnsi"/>
                      <w:sz w:val="22"/>
                      <w:szCs w:val="22"/>
                      <w:shd w:val="clear" w:color="auto" w:fill="FFFFFF" w:themeFill="background1"/>
                    </w:rPr>
                    <w:t>objetos valiosos incluyen piedras y metales preciosos, antigüedades, otros objetos de arte y otros objetos valiosos. Sin embargo, no todas las partidas descritas por algunos de estos conceptos necesariamente deben incluirse como objetos valiosos en el balance del propiet</w:t>
                  </w:r>
                  <w:r>
                    <w:rPr>
                      <w:rFonts w:asciiTheme="minorHAnsi" w:hAnsiTheme="minorHAnsi"/>
                      <w:sz w:val="22"/>
                      <w:szCs w:val="22"/>
                      <w:shd w:val="clear" w:color="auto" w:fill="FFFFFF" w:themeFill="background1"/>
                    </w:rPr>
                    <w:t>ario</w:t>
                  </w:r>
                  <w:r w:rsidRPr="004045C8">
                    <w:rPr>
                      <w:rFonts w:asciiTheme="minorHAnsi" w:hAnsiTheme="minorHAnsi"/>
                      <w:sz w:val="22"/>
                      <w:szCs w:val="22"/>
                    </w:rPr>
                    <w:t xml:space="preserve">. </w:t>
                  </w:r>
                  <w:r w:rsidRPr="00B103A4">
                    <w:rPr>
                      <w:rFonts w:asciiTheme="minorHAnsi" w:hAnsiTheme="minorHAnsi"/>
                      <w:sz w:val="22"/>
                      <w:szCs w:val="22"/>
                    </w:rPr>
                    <w:t>(SCN 2008, 10.</w:t>
                  </w:r>
                  <w:r>
                    <w:rPr>
                      <w:rFonts w:asciiTheme="minorHAnsi" w:hAnsiTheme="minorHAnsi"/>
                      <w:sz w:val="22"/>
                      <w:szCs w:val="22"/>
                    </w:rPr>
                    <w:t>149</w:t>
                  </w:r>
                  <w:r w:rsidRPr="00B103A4">
                    <w:rPr>
                      <w:rFonts w:asciiTheme="minorHAnsi" w:hAnsiTheme="minorHAnsi"/>
                      <w:sz w:val="22"/>
                      <w:szCs w:val="22"/>
                    </w:rPr>
                    <w:t>)</w:t>
                  </w:r>
                </w:p>
              </w:tc>
            </w:tr>
            <w:tr w:rsidR="00C40CC5" w:rsidRPr="0025612F" w:rsidTr="009D36F2">
              <w:trPr>
                <w:trHeight w:val="156"/>
              </w:trPr>
              <w:tc>
                <w:tcPr>
                  <w:tcW w:w="500" w:type="pct"/>
                </w:tcPr>
                <w:p w:rsidR="00C40CC5" w:rsidRPr="0025612F" w:rsidRDefault="00C40CC5" w:rsidP="009D36F2">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NP</w:t>
                  </w:r>
                </w:p>
              </w:tc>
              <w:tc>
                <w:tcPr>
                  <w:tcW w:w="972" w:type="pct"/>
                </w:tcPr>
                <w:p w:rsidR="00C40CC5" w:rsidRPr="0025612F" w:rsidRDefault="00C40CC5" w:rsidP="009D36F2">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Adquisición menos disposiciones de activos no financieros no producidos</w:t>
                  </w:r>
                </w:p>
              </w:tc>
              <w:tc>
                <w:tcPr>
                  <w:tcW w:w="3528" w:type="pct"/>
                  <w:shd w:val="clear" w:color="auto" w:fill="FFFFFF" w:themeFill="background1"/>
                </w:tcPr>
                <w:p w:rsidR="00C40CC5" w:rsidRPr="006C6235" w:rsidRDefault="00C40CC5" w:rsidP="009D36F2">
                  <w:pPr>
                    <w:spacing w:before="120" w:after="120"/>
                    <w:jc w:val="both"/>
                    <w:rPr>
                      <w:rFonts w:asciiTheme="minorHAnsi" w:hAnsiTheme="minorHAnsi"/>
                      <w:szCs w:val="22"/>
                    </w:rPr>
                  </w:pPr>
                  <w:r>
                    <w:rPr>
                      <w:rFonts w:asciiTheme="minorHAnsi" w:hAnsiTheme="minorHAnsi"/>
                      <w:sz w:val="22"/>
                      <w:szCs w:val="22"/>
                      <w:lang w:val="es-EC"/>
                    </w:rPr>
                    <w:t xml:space="preserve">Existen </w:t>
                  </w:r>
                  <w:r w:rsidRPr="00640E99">
                    <w:rPr>
                      <w:rFonts w:asciiTheme="minorHAnsi" w:hAnsiTheme="minorHAnsi"/>
                      <w:sz w:val="22"/>
                      <w:szCs w:val="22"/>
                    </w:rPr>
                    <w:t xml:space="preserve">tres </w:t>
                  </w:r>
                  <w:r w:rsidRPr="006E11AE">
                    <w:rPr>
                      <w:rFonts w:asciiTheme="minorHAnsi" w:hAnsiTheme="minorHAnsi"/>
                      <w:sz w:val="22"/>
                      <w:szCs w:val="22"/>
                      <w:shd w:val="clear" w:color="auto" w:fill="FFFFFF" w:themeFill="background1"/>
                    </w:rPr>
                    <w:t>clases diferentes de otros activos no financieros no producidos: los recursos naturales, los contratos, arrendamientos y licencias, y los fondos de comercio y activos de comercialización. (SCN 2008, 10.164)</w:t>
                  </w:r>
                </w:p>
              </w:tc>
            </w:tr>
            <w:tr w:rsidR="00C40CC5" w:rsidRPr="0025612F" w:rsidTr="009D36F2">
              <w:trPr>
                <w:trHeight w:val="156"/>
              </w:trPr>
              <w:tc>
                <w:tcPr>
                  <w:tcW w:w="500" w:type="pct"/>
                </w:tcPr>
                <w:p w:rsidR="00C40CC5" w:rsidRPr="0025612F" w:rsidRDefault="00C40CC5" w:rsidP="009D36F2">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B.9 </w:t>
                  </w:r>
                </w:p>
              </w:tc>
              <w:tc>
                <w:tcPr>
                  <w:tcW w:w="972" w:type="pct"/>
                </w:tcPr>
                <w:p w:rsidR="00C40CC5" w:rsidRPr="0025612F" w:rsidRDefault="00C40CC5" w:rsidP="009D36F2">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Préstamo neto / endeudamiento neto</w:t>
                  </w:r>
                </w:p>
              </w:tc>
              <w:tc>
                <w:tcPr>
                  <w:tcW w:w="3528" w:type="pct"/>
                  <w:shd w:val="clear" w:color="auto" w:fill="FFFFFF" w:themeFill="background1"/>
                </w:tcPr>
                <w:p w:rsidR="00C40CC5" w:rsidRDefault="00C40CC5" w:rsidP="009D36F2">
                  <w:pPr>
                    <w:spacing w:before="120" w:after="120"/>
                    <w:jc w:val="both"/>
                    <w:rPr>
                      <w:rFonts w:asciiTheme="minorHAnsi" w:hAnsiTheme="minorHAnsi"/>
                      <w:szCs w:val="22"/>
                    </w:rPr>
                  </w:pPr>
                  <w:r w:rsidRPr="00E37032">
                    <w:rPr>
                      <w:rFonts w:asciiTheme="minorHAnsi" w:hAnsiTheme="minorHAnsi"/>
                      <w:sz w:val="22"/>
                      <w:szCs w:val="22"/>
                    </w:rPr>
                    <w:t xml:space="preserve">Préstamo neto se define como la diferencia entre las variaciones del valor neto debidas al ahorro y a las transferencias de capital y las adquisiciones netas de activos no financieros (adquisiciones menos disposiciones de activos no financieros, menos el consumo de capital fijo). Si el monto es negativo, éste representa </w:t>
                  </w:r>
                  <w:r w:rsidRPr="00E37032">
                    <w:rPr>
                      <w:rFonts w:asciiTheme="minorHAnsi" w:hAnsiTheme="minorHAnsi"/>
                      <w:sz w:val="22"/>
                      <w:szCs w:val="22"/>
                    </w:rPr>
                    <w:lastRenderedPageBreak/>
                    <w:t>endeudamiento neto. (SCN 2008, 10.28)</w:t>
                  </w:r>
                </w:p>
                <w:p w:rsidR="00C40CC5" w:rsidRPr="0025612F" w:rsidRDefault="00C40CC5" w:rsidP="009D36F2">
                  <w:pPr>
                    <w:spacing w:before="120" w:after="120"/>
                    <w:jc w:val="both"/>
                    <w:rPr>
                      <w:rFonts w:asciiTheme="minorHAnsi" w:hAnsiTheme="minorHAnsi"/>
                      <w:szCs w:val="22"/>
                    </w:rPr>
                  </w:pPr>
                </w:p>
              </w:tc>
            </w:tr>
          </w:tbl>
          <w:p w:rsidR="00C40CC5" w:rsidRPr="00410A0A" w:rsidRDefault="00C40CC5" w:rsidP="009D36F2">
            <w:pPr>
              <w:jc w:val="both"/>
              <w:rPr>
                <w:rFonts w:asciiTheme="minorHAnsi" w:hAnsiTheme="minorHAnsi" w:cs="Arial"/>
                <w:szCs w:val="22"/>
              </w:rPr>
            </w:pPr>
          </w:p>
        </w:tc>
      </w:tr>
    </w:tbl>
    <w:p w:rsidR="00C40CC5" w:rsidRDefault="00C40CC5"/>
    <w:sectPr w:rsidR="00C40CC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D5F29"/>
    <w:multiLevelType w:val="hybridMultilevel"/>
    <w:tmpl w:val="A8AA284A"/>
    <w:lvl w:ilvl="0" w:tplc="C82E2526">
      <w:numFmt w:val="bullet"/>
      <w:lvlText w:val="-"/>
      <w:lvlJc w:val="left"/>
      <w:pPr>
        <w:ind w:left="720" w:hanging="360"/>
      </w:pPr>
      <w:rPr>
        <w:rFonts w:ascii="Calibri" w:eastAsia="Times New Roman" w:hAnsi="Calibri" w:cs="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CC5"/>
    <w:rsid w:val="000A3871"/>
    <w:rsid w:val="00370DF8"/>
    <w:rsid w:val="00743314"/>
    <w:rsid w:val="00873D2F"/>
    <w:rsid w:val="00A4754C"/>
    <w:rsid w:val="00C40CC5"/>
    <w:rsid w:val="00CE5AFD"/>
    <w:rsid w:val="00F903FE"/>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CC5"/>
    <w:pPr>
      <w:spacing w:after="0" w:line="240" w:lineRule="auto"/>
    </w:pPr>
    <w:rPr>
      <w:rFonts w:ascii="Times New Roman" w:eastAsia="Times New Roman" w:hAnsi="Times New Roman" w:cs="Times New Roman"/>
      <w:sz w:val="24"/>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C40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C40CC5"/>
    <w:pPr>
      <w:ind w:left="720"/>
    </w:pPr>
    <w:rPr>
      <w:lang w:val="es-ES_tradnl"/>
    </w:rPr>
  </w:style>
  <w:style w:type="character" w:customStyle="1" w:styleId="PrrafodelistaCar">
    <w:name w:val="Párrafo de lista Car"/>
    <w:link w:val="Prrafodelista"/>
    <w:uiPriority w:val="34"/>
    <w:rsid w:val="00C40CC5"/>
    <w:rPr>
      <w:rFonts w:ascii="Times New Roman" w:eastAsia="Times New Roman" w:hAnsi="Times New Roman" w:cs="Times New Roman"/>
      <w:sz w:val="24"/>
      <w:szCs w:val="20"/>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CC5"/>
    <w:pPr>
      <w:spacing w:after="0" w:line="240" w:lineRule="auto"/>
    </w:pPr>
    <w:rPr>
      <w:rFonts w:ascii="Times New Roman" w:eastAsia="Times New Roman" w:hAnsi="Times New Roman" w:cs="Times New Roman"/>
      <w:sz w:val="24"/>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C40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C40CC5"/>
    <w:pPr>
      <w:ind w:left="720"/>
    </w:pPr>
    <w:rPr>
      <w:lang w:val="es-ES_tradnl"/>
    </w:rPr>
  </w:style>
  <w:style w:type="character" w:customStyle="1" w:styleId="PrrafodelistaCar">
    <w:name w:val="Párrafo de lista Car"/>
    <w:link w:val="Prrafodelista"/>
    <w:uiPriority w:val="34"/>
    <w:rsid w:val="00C40CC5"/>
    <w:rPr>
      <w:rFonts w:ascii="Times New Roman" w:eastAsia="Times New Roman" w:hAnsi="Times New Roman" w:cs="Times New Roman"/>
      <w:sz w:val="24"/>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16</Pages>
  <Words>5227</Words>
  <Characters>28753</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33913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arenteria</dc:creator>
  <cp:lastModifiedBy>arenteria</cp:lastModifiedBy>
  <cp:revision>4</cp:revision>
  <dcterms:created xsi:type="dcterms:W3CDTF">2017-01-05T22:55:00Z</dcterms:created>
  <dcterms:modified xsi:type="dcterms:W3CDTF">2017-01-05T23:19:00Z</dcterms:modified>
</cp:coreProperties>
</file>